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Default Extension="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百色起义革命旧址管理处</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w:t>
      </w:r>
      <w:r>
        <w:rPr>
          <w:rFonts w:hint="eastAsia" w:ascii="宋体" w:hAnsi="宋体" w:cs="宋体"/>
          <w:b/>
          <w:bCs/>
          <w:color w:val="000000"/>
          <w:sz w:val="52"/>
          <w:szCs w:val="52"/>
        </w:rPr>
        <w:t>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 xml:space="preserve">第一部分  </w:t>
      </w:r>
      <w:r>
        <w:rPr>
          <w:rFonts w:hint="eastAsia" w:ascii="黑体" w:hAnsi="黑体" w:eastAsia="黑体" w:cs="黑体"/>
          <w:b/>
          <w:sz w:val="32"/>
          <w:szCs w:val="32"/>
        </w:rPr>
        <w:t>百色起义革命旧址管理处</w:t>
      </w:r>
      <w:r>
        <w:rPr>
          <w:rFonts w:hint="eastAsia" w:ascii="黑体" w:hAnsi="黑体" w:eastAsia="黑体" w:cs="黑体"/>
          <w:b/>
          <w:sz w:val="32"/>
          <w:szCs w:val="32"/>
        </w:rPr>
        <w:t>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百色起义革命旧址管理处</w:t>
      </w:r>
      <w:bookmarkEnd w:id="1"/>
      <w:r>
        <w:rPr>
          <w:rFonts w:hint="eastAsia" w:ascii="黑体" w:hAnsi="黑体" w:eastAsia="黑体" w:cs="黑体"/>
          <w:b/>
          <w:sz w:val="32"/>
          <w:szCs w:val="32"/>
        </w:rPr>
        <w:t>2026</w:t>
      </w:r>
      <w:r>
        <w:rPr>
          <w:rFonts w:hint="eastAsia" w:ascii="黑体" w:hAnsi="黑体" w:eastAsia="黑体" w:cs="黑体"/>
          <w:b/>
          <w:sz w:val="32"/>
          <w:szCs w:val="32"/>
        </w:rPr>
        <w:t>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r>
        <w:rPr>
          <w:rFonts w:hint="eastAsia" w:ascii="黑体" w:hAnsi="黑体" w:eastAsia="黑体" w:cs="黑体"/>
          <w:b/>
          <w:sz w:val="32"/>
          <w:szCs w:val="32"/>
        </w:rPr>
        <w:t>百色起义革命旧址管理处</w:t>
      </w:r>
      <w:r>
        <w:rPr>
          <w:rFonts w:hint="eastAsia" w:ascii="黑体" w:hAnsi="黑体" w:eastAsia="黑体" w:cs="黑体"/>
          <w:b/>
          <w:sz w:val="32"/>
          <w:szCs w:val="32"/>
        </w:rPr>
        <w:t>2026</w:t>
      </w:r>
      <w:r>
        <w:rPr>
          <w:rFonts w:hint="eastAsia" w:ascii="黑体" w:hAnsi="黑体" w:eastAsia="黑体" w:cs="黑体"/>
          <w:b/>
          <w:sz w:val="32"/>
          <w:szCs w:val="32"/>
        </w:rPr>
        <w:t>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r>
        <w:rPr>
          <w:rFonts w:hint="eastAsia" w:ascii="黑体" w:hAnsi="黑体" w:eastAsia="黑体" w:cs="方正小标宋简体"/>
          <w:sz w:val="44"/>
          <w:szCs w:val="44"/>
        </w:rPr>
        <w:t>百色起义革命旧址管理处</w:t>
      </w:r>
      <w:r>
        <w:rPr>
          <w:rFonts w:hint="eastAsia" w:ascii="黑体" w:hAnsi="黑体" w:eastAsia="黑体" w:cs="方正小标宋简体"/>
          <w:sz w:val="44"/>
          <w:szCs w:val="44"/>
        </w:rPr>
        <w:t>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w:t>
      </w:r>
      <w:r>
        <w:rPr>
          <w:rFonts w:hint="eastAsia" w:ascii="仿宋_GB2312" w:eastAsia="仿宋_GB2312"/>
          <w:sz w:val="30"/>
          <w:szCs w:val="30"/>
        </w:rPr>
        <w:t/>
      </w:r>
      <w:r>
        <w:rPr>
          <w:rFonts w:hint="eastAsia" w:ascii="仿宋_GB2312" w:eastAsia="仿宋_GB2312"/>
          <w:sz w:val="30"/>
          <w:szCs w:val="30"/>
        </w:rPr>
        <w:t>负责红七军军部旧址（粤东会馆）和红七军政治部旧址（清风楼）、灵洲会馆、红军码头的日常管理工作，落实防火、防漏、防盗等安全措施，确保革命旧址及所存文物的安全。研究提出旧址维修方案并具体负责维修工作。做好革命文物的收集、整理、保护与利用工作及接待工作，运用革命历史文物、史料和纪念性建筑等进行爱国主义、革命传统教育以及廉政教育，做好观众参观工作和各种政务接待工作</w:t>
      </w:r>
      <w:r>
        <w:rPr>
          <w:rFonts w:hint="eastAsia" w:ascii="仿宋_GB2312" w:eastAsia="仿宋_GB2312"/>
          <w:sz w:val="30"/>
          <w:szCs w:val="30"/>
          <w:lang w:eastAsia="zh-CN"/>
        </w:rPr>
        <w:t>。</w:t>
      </w:r>
      <w:r>
        <w:rPr>
          <w:rFonts w:hint="eastAsia" w:ascii="仿宋_GB2312" w:eastAsia="仿宋_GB2312"/>
          <w:sz w:val="30"/>
          <w:szCs w:val="30"/>
        </w:rPr>
        <w:t/>
      </w:r>
      <w:r>
        <w:rPr>
          <w:rFonts w:hint="eastAsia" w:ascii="仿宋_GB2312" w:eastAsia="仿宋_GB2312"/>
          <w:sz w:val="30"/>
          <w:szCs w:val="30"/>
          <w:lang w:val="en-US" w:eastAsia="zh-CN"/>
        </w:rPr>
        <w:t xml:space="preserve">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57C41D7F">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单位预算级次为二级预算单位，属财政全额拨款事业单位，内设办公室、陈列保管部、社会宣传教育部、综合服务部、安全保卫部五个职能科室。 在职人员：百色起义革命旧址管理处人员编制数为事业编制8名，事业在职实有人数7人。退休人员：事业退休实有人数3人。 编制外聘用人员20人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w:r>
      <w:bookmarkEnd w:id="3"/>
    </w:p>
    <w:p w14:paraId="41E40CF6">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1A681C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本部门无下属单位，部门预算为本级预算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4"/>
      <w:r>
        <w:rPr>
          <w:rFonts w:hint="eastAsia" w:ascii="仿宋_GB2312" w:hAnsi="仿宋_GB2312" w:eastAsia="仿宋_GB2312" w:cs="仿宋_GB2312"/>
          <w:sz w:val="32"/>
          <w:szCs w:val="32"/>
        </w:rPr>
        <w:t xml:space="preserve"> </w:t>
      </w:r>
    </w:p>
    <w:p w14:paraId="2FAD7C75">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百色起义革命旧址管理处</w:t>
      </w:r>
      <w:bookmarkEnd w:id="5"/>
      <w:r>
        <w:rPr>
          <w:rFonts w:hint="eastAsia" w:ascii="黑体" w:hAnsi="黑体" w:eastAsia="黑体" w:cs="方正小标宋简体"/>
          <w:sz w:val="44"/>
          <w:szCs w:val="44"/>
        </w:rPr>
        <w:t>2026</w:t>
      </w:r>
      <w:r>
        <w:rPr>
          <w:rFonts w:hint="eastAsia" w:ascii="黑体" w:hAnsi="黑体" w:eastAsia="黑体" w:cs="方正小标宋简体"/>
          <w:sz w:val="44"/>
          <w:szCs w:val="44"/>
        </w:rPr>
        <w:t>年部门预算表</w:t>
      </w:r>
    </w:p>
    <w:p w14:paraId="5387B3DD">
      <w:pPr>
        <w:jc w:val="left"/>
        <w:rPr>
          <w:rFonts w:hint="eastAsia"/>
        </w:rPr>
      </w:pPr>
      <w:bookmarkStart w:id="6"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一、一般公共服务支出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二、外交支出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三、国防支出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（三）一般债券收入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四、公共安全支出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二、政府性基金预算</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五、教育支出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六、科学技术支出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七、文化旅游体育与传媒支出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93.74</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（三）专项债券收入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八、社会保障和就业支出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22.06</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九、卫生健康支出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3.94</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十、节能环保支出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十一、城乡社区支出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十二、农林水支出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五、单位资金</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十三、交通运输支出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（一）事业收入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十四、资源勘探工业信息等支出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十五、商业服务业等支出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（三）上级补助收入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十六、金融支出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十七、援助其他地区支出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（五）其他收入</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十八、自然资源海洋气象等支出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十九、住房保障支出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9.76</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二十、粮油物资储备支出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二十一、国有资本经营预算支出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二十二、灾害防治及应急管理支出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二十三、其他支出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二十四、债务付息支出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二十五、债务发行费用支出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本 年 收 入 合 计</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本 年 支 出 合 计</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上年结转结余</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结转下年支出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收  入  总  计</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支  出  总  计</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129.5</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
            </w: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71" w:type="dxa"/>
            <w:gridSpan w:val="2"/>
            <w:noWrap w:val="0"/>
            <w:vAlign w:val="center"/>
          </w:tcPr>
          <w:p w14:paraId="579CAB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08" w:type="dxa"/>
            <w:noWrap w:val="0"/>
            <w:vAlign w:val="center"/>
          </w:tcPr>
          <w:p w14:paraId="626DBD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9" w:type="dxa"/>
            <w:noWrap w:val="0"/>
            <w:vAlign w:val="center"/>
          </w:tcPr>
          <w:p w14:paraId="03C9FC9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w:t>
            </w: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71" w:type="dxa"/>
            <w:gridSpan w:val="2"/>
            <w:noWrap w:val="0"/>
            <w:vAlign w:val="center"/>
          </w:tcPr>
          <w:p w14:paraId="579CAB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08" w:type="dxa"/>
            <w:noWrap w:val="0"/>
            <w:vAlign w:val="center"/>
          </w:tcPr>
          <w:p w14:paraId="626DBD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9" w:type="dxa"/>
            <w:noWrap w:val="0"/>
            <w:vAlign w:val="center"/>
          </w:tcPr>
          <w:p w14:paraId="03C9FC9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219004</w:t>
            </w: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71" w:type="dxa"/>
            <w:gridSpan w:val="2"/>
            <w:noWrap w:val="0"/>
            <w:vAlign w:val="center"/>
          </w:tcPr>
          <w:p w14:paraId="579CAB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08" w:type="dxa"/>
            <w:noWrap w:val="0"/>
            <w:vAlign w:val="center"/>
          </w:tcPr>
          <w:p w14:paraId="626DBD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9" w:type="dxa"/>
            <w:noWrap w:val="0"/>
            <w:vAlign w:val="center"/>
          </w:tcPr>
          <w:p w14:paraId="03C9FC9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r>
        <w:rPr>
          <w:rFonts w:hint="eastAsia" w:ascii="宋体" w:hAnsi="宋体" w:cs="宋体"/>
          <w:color w:val="000000"/>
          <w:kern w:val="0"/>
          <w:sz w:val="18"/>
          <w:szCs w:val="18"/>
          <w:lang w:bidi="ar"/>
        </w:rPr>
        <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13"/>
          </w:p>
        </w:tc>
        <w:tc>
          <w:tcPr>
            <w:tcW w:w="7733" w:type="dxa"/>
            <w:gridSpan w:val="6"/>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7"/>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5"/>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4"/>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1016"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一般通用项目</w:t>
            </w:r>
          </w:p>
        </w:tc>
        <w:tc>
          <w:tcPr>
            <w:tcW w:w="1016" w:type="dxa"/>
            <w:tcBorders>
              <w:top w:val="single" w:color="auto" w:sz="4" w:space="0"/>
            </w:tcBorders>
            <w:noWrap w:val="0"/>
            <w:vAlign w:val="center"/>
          </w:tcPr>
          <w:p w14:paraId="120DC2B1">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专项资金项目</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部门专用项目</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事业单位经营支出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016"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016" w:type="dxa"/>
            <w:tcBorders>
              <w:top w:val="single" w:color="auto" w:sz="4" w:space="0"/>
            </w:tcBorders>
            <w:noWrap w:val="0"/>
            <w:vAlign w:val="center"/>
          </w:tcPr>
          <w:p w14:paraId="0F5AFA2E">
            <w:pPr>
              <w:widowControl/>
              <w:jc w:val="center"/>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5</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6</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7</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rFonts w:hint="default"/>
                <w:sz w:val="18"/>
                <w:szCs w:val="18"/>
                <w:lang w:val="en-US"/>
              </w:rPr>
            </w:pPr>
            <w:r>
              <w:rPr>
                <w:rFonts w:hint="default"/>
                <w:sz w:val="18"/>
                <w:szCs w:val="18"/>
                <w:lang w:val="en-US"/>
              </w:rPr>
              <w:t>129.5</w:t>
            </w:r>
          </w:p>
        </w:tc>
        <w:tc>
          <w:tcPr>
            <w:tcW w:w="940" w:type="dxa"/>
            <w:noWrap w:val="0"/>
            <w:vAlign w:val="center"/>
          </w:tcPr>
          <w:p w14:paraId="45740E2F">
            <w:pPr>
              <w:jc w:val="right"/>
              <w:rPr>
                <w:rFonts w:hint="default"/>
                <w:sz w:val="18"/>
                <w:szCs w:val="18"/>
                <w:lang w:val="en-US"/>
              </w:rPr>
            </w:pPr>
            <w:r>
              <w:rPr>
                <w:rFonts w:hint="default"/>
                <w:sz w:val="18"/>
                <w:szCs w:val="18"/>
                <w:lang w:val="en-US"/>
              </w:rPr>
              <w:t>116.8</w:t>
            </w:r>
          </w:p>
        </w:tc>
        <w:tc>
          <w:tcPr>
            <w:tcW w:w="1255" w:type="dxa"/>
            <w:noWrap w:val="0"/>
            <w:vAlign w:val="center"/>
          </w:tcPr>
          <w:p w14:paraId="32E0D7DC">
            <w:pPr>
              <w:jc w:val="right"/>
              <w:rPr>
                <w:rFonts w:hint="default"/>
                <w:sz w:val="18"/>
                <w:szCs w:val="18"/>
                <w:lang w:val="en-US"/>
              </w:rPr>
            </w:pPr>
            <w:r>
              <w:rPr>
                <w:rFonts w:hint="default"/>
                <w:sz w:val="18"/>
                <w:szCs w:val="18"/>
                <w:lang w:val="en-US"/>
              </w:rPr>
              <w:t>12.7</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364" w:type="dxa"/>
            <w:noWrap w:val="0"/>
            <w:vAlign w:val="center"/>
          </w:tcPr>
          <w:p w14:paraId="636AB898">
            <w:pPr>
              <w:jc w:val="right"/>
              <w:rPr>
                <w:rFonts w:hint="default"/>
                <w:sz w:val="18"/>
                <w:szCs w:val="18"/>
                <w:lang w:val="en-US"/>
              </w:rPr>
            </w:pPr>
            <w:r>
              <w:rPr>
                <w:rFonts w:hint="default"/>
                <w:sz w:val="18"/>
                <w:szCs w:val="18"/>
                <w:lang w:val="en-US"/>
              </w:rPr>
              <w:t>129.5</w:t>
            </w:r>
          </w:p>
        </w:tc>
        <w:tc>
          <w:tcPr>
            <w:tcW w:w="940" w:type="dxa"/>
            <w:noWrap w:val="0"/>
            <w:vAlign w:val="center"/>
          </w:tcPr>
          <w:p w14:paraId="45740E2F">
            <w:pPr>
              <w:jc w:val="right"/>
              <w:rPr>
                <w:rFonts w:hint="default"/>
                <w:sz w:val="18"/>
                <w:szCs w:val="18"/>
                <w:lang w:val="en-US"/>
              </w:rPr>
            </w:pPr>
            <w:r>
              <w:rPr>
                <w:rFonts w:hint="default"/>
                <w:sz w:val="18"/>
                <w:szCs w:val="18"/>
                <w:lang w:val="en-US"/>
              </w:rPr>
              <w:t>116.8</w:t>
            </w:r>
          </w:p>
        </w:tc>
        <w:tc>
          <w:tcPr>
            <w:tcW w:w="1255" w:type="dxa"/>
            <w:noWrap w:val="0"/>
            <w:vAlign w:val="center"/>
          </w:tcPr>
          <w:p w14:paraId="32E0D7DC">
            <w:pPr>
              <w:jc w:val="right"/>
              <w:rPr>
                <w:rFonts w:hint="default"/>
                <w:sz w:val="18"/>
                <w:szCs w:val="18"/>
                <w:lang w:val="en-US"/>
              </w:rPr>
            </w:pPr>
            <w:r>
              <w:rPr>
                <w:rFonts w:hint="default"/>
                <w:sz w:val="18"/>
                <w:szCs w:val="18"/>
                <w:lang w:val="en-US"/>
              </w:rPr>
              <w:t>12.7</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219004</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364" w:type="dxa"/>
            <w:noWrap w:val="0"/>
            <w:vAlign w:val="center"/>
          </w:tcPr>
          <w:p w14:paraId="636AB898">
            <w:pPr>
              <w:jc w:val="right"/>
              <w:rPr>
                <w:rFonts w:hint="default"/>
                <w:sz w:val="18"/>
                <w:szCs w:val="18"/>
                <w:lang w:val="en-US"/>
              </w:rPr>
            </w:pPr>
            <w:r>
              <w:rPr>
                <w:rFonts w:hint="default"/>
                <w:sz w:val="18"/>
                <w:szCs w:val="18"/>
                <w:lang w:val="en-US"/>
              </w:rPr>
              <w:t>129.5</w:t>
            </w:r>
          </w:p>
        </w:tc>
        <w:tc>
          <w:tcPr>
            <w:tcW w:w="940" w:type="dxa"/>
            <w:noWrap w:val="0"/>
            <w:vAlign w:val="center"/>
          </w:tcPr>
          <w:p w14:paraId="45740E2F">
            <w:pPr>
              <w:jc w:val="right"/>
              <w:rPr>
                <w:rFonts w:hint="default"/>
                <w:sz w:val="18"/>
                <w:szCs w:val="18"/>
                <w:lang w:val="en-US"/>
              </w:rPr>
            </w:pPr>
            <w:r>
              <w:rPr>
                <w:rFonts w:hint="default"/>
                <w:sz w:val="18"/>
                <w:szCs w:val="18"/>
                <w:lang w:val="en-US"/>
              </w:rPr>
              <w:t>116.8</w:t>
            </w:r>
          </w:p>
        </w:tc>
        <w:tc>
          <w:tcPr>
            <w:tcW w:w="1255" w:type="dxa"/>
            <w:noWrap w:val="0"/>
            <w:vAlign w:val="center"/>
          </w:tcPr>
          <w:p w14:paraId="32E0D7DC">
            <w:pPr>
              <w:jc w:val="right"/>
              <w:rPr>
                <w:rFonts w:hint="default"/>
                <w:sz w:val="18"/>
                <w:szCs w:val="18"/>
                <w:lang w:val="en-US"/>
              </w:rPr>
            </w:pPr>
            <w:r>
              <w:rPr>
                <w:rFonts w:hint="default"/>
                <w:sz w:val="18"/>
                <w:szCs w:val="18"/>
                <w:lang w:val="en-US"/>
              </w:rPr>
              <w:t>12.7</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博物馆</w:t>
            </w:r>
          </w:p>
        </w:tc>
        <w:tc>
          <w:tcPr>
            <w:tcW w:w="1364" w:type="dxa"/>
            <w:noWrap w:val="0"/>
            <w:vAlign w:val="center"/>
          </w:tcPr>
          <w:p w14:paraId="636AB898">
            <w:pPr>
              <w:jc w:val="right"/>
              <w:rPr>
                <w:rFonts w:hint="default"/>
                <w:sz w:val="18"/>
                <w:szCs w:val="18"/>
                <w:lang w:val="en-US"/>
              </w:rPr>
            </w:pPr>
            <w:r>
              <w:rPr>
                <w:rFonts w:hint="default"/>
                <w:sz w:val="18"/>
                <w:szCs w:val="18"/>
                <w:lang w:val="en-US"/>
              </w:rPr>
              <w:t>12</w:t>
            </w:r>
          </w:p>
        </w:tc>
        <w:tc>
          <w:tcPr>
            <w:tcW w:w="940" w:type="dxa"/>
            <w:noWrap w:val="0"/>
            <w:vAlign w:val="center"/>
          </w:tcPr>
          <w:p w14:paraId="45740E2F">
            <w:pPr>
              <w:jc w:val="right"/>
              <w:rPr>
                <w:rFonts w:hint="default"/>
                <w:sz w:val="18"/>
                <w:szCs w:val="18"/>
                <w:lang w:val="en-US"/>
              </w:rPr>
            </w:pPr>
            <w:r>
              <w:rPr>
                <w:rFonts w:hint="default"/>
                <w:sz w:val="18"/>
                <w:szCs w:val="18"/>
                <w:lang w:val="en-US"/>
              </w:rPr>
              <w:t/>
            </w:r>
          </w:p>
        </w:tc>
        <w:tc>
          <w:tcPr>
            <w:tcW w:w="1255" w:type="dxa"/>
            <w:noWrap w:val="0"/>
            <w:vAlign w:val="center"/>
          </w:tcPr>
          <w:p w14:paraId="32E0D7DC">
            <w:pPr>
              <w:jc w:val="right"/>
              <w:rPr>
                <w:rFonts w:hint="default"/>
                <w:sz w:val="18"/>
                <w:szCs w:val="18"/>
                <w:lang w:val="en-US"/>
              </w:rPr>
            </w:pPr>
            <w:r>
              <w:rPr>
                <w:rFonts w:hint="default"/>
                <w:sz w:val="18"/>
                <w:szCs w:val="18"/>
                <w:lang w:val="en-US"/>
              </w:rPr>
              <w:t>12</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364" w:type="dxa"/>
            <w:noWrap w:val="0"/>
            <w:vAlign w:val="center"/>
          </w:tcPr>
          <w:p w14:paraId="636AB898">
            <w:pPr>
              <w:jc w:val="right"/>
              <w:rPr>
                <w:rFonts w:hint="default"/>
                <w:sz w:val="18"/>
                <w:szCs w:val="18"/>
                <w:lang w:val="en-US"/>
              </w:rPr>
            </w:pPr>
            <w:r>
              <w:rPr>
                <w:rFonts w:hint="default"/>
                <w:sz w:val="18"/>
                <w:szCs w:val="18"/>
                <w:lang w:val="en-US"/>
              </w:rPr>
              <w:t>81.74</w:t>
            </w:r>
          </w:p>
        </w:tc>
        <w:tc>
          <w:tcPr>
            <w:tcW w:w="940" w:type="dxa"/>
            <w:noWrap w:val="0"/>
            <w:vAlign w:val="center"/>
          </w:tcPr>
          <w:p w14:paraId="45740E2F">
            <w:pPr>
              <w:jc w:val="right"/>
              <w:rPr>
                <w:rFonts w:hint="default"/>
                <w:sz w:val="18"/>
                <w:szCs w:val="18"/>
                <w:lang w:val="en-US"/>
              </w:rPr>
            </w:pPr>
            <w:r>
              <w:rPr>
                <w:rFonts w:hint="default"/>
                <w:sz w:val="18"/>
                <w:szCs w:val="18"/>
                <w:lang w:val="en-US"/>
              </w:rPr>
              <w:t>81.04</w:t>
            </w:r>
          </w:p>
        </w:tc>
        <w:tc>
          <w:tcPr>
            <w:tcW w:w="1255" w:type="dxa"/>
            <w:noWrap w:val="0"/>
            <w:vAlign w:val="center"/>
          </w:tcPr>
          <w:p w14:paraId="32E0D7DC">
            <w:pPr>
              <w:jc w:val="right"/>
              <w:rPr>
                <w:rFonts w:hint="default"/>
                <w:sz w:val="18"/>
                <w:szCs w:val="18"/>
                <w:lang w:val="en-US"/>
              </w:rPr>
            </w:pPr>
            <w:r>
              <w:rPr>
                <w:rFonts w:hint="default"/>
                <w:sz w:val="18"/>
                <w:szCs w:val="18"/>
                <w:lang w:val="en-US"/>
              </w:rPr>
              <w:t>0.7</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636AB898">
            <w:pPr>
              <w:jc w:val="right"/>
              <w:rPr>
                <w:rFonts w:hint="default"/>
                <w:sz w:val="18"/>
                <w:szCs w:val="18"/>
                <w:lang w:val="en-US"/>
              </w:rPr>
            </w:pPr>
            <w:r>
              <w:rPr>
                <w:rFonts w:hint="default"/>
                <w:sz w:val="18"/>
                <w:szCs w:val="18"/>
                <w:lang w:val="en-US"/>
              </w:rPr>
              <w:t>4.89</w:t>
            </w:r>
          </w:p>
        </w:tc>
        <w:tc>
          <w:tcPr>
            <w:tcW w:w="940" w:type="dxa"/>
            <w:noWrap w:val="0"/>
            <w:vAlign w:val="center"/>
          </w:tcPr>
          <w:p w14:paraId="45740E2F">
            <w:pPr>
              <w:jc w:val="right"/>
              <w:rPr>
                <w:rFonts w:hint="default"/>
                <w:sz w:val="18"/>
                <w:szCs w:val="18"/>
                <w:lang w:val="en-US"/>
              </w:rPr>
            </w:pPr>
            <w:r>
              <w:rPr>
                <w:rFonts w:hint="default"/>
                <w:sz w:val="18"/>
                <w:szCs w:val="18"/>
                <w:lang w:val="en-US"/>
              </w:rPr>
              <w:t>4.89</w:t>
            </w:r>
          </w:p>
        </w:tc>
        <w:tc>
          <w:tcPr>
            <w:tcW w:w="1255" w:type="dxa"/>
            <w:noWrap w:val="0"/>
            <w:vAlign w:val="center"/>
          </w:tcPr>
          <w:p w14:paraId="32E0D7DC">
            <w:pPr>
              <w:jc w:val="right"/>
              <w:rPr>
                <w:rFonts w:hint="default"/>
                <w:sz w:val="18"/>
                <w:szCs w:val="18"/>
                <w:lang w:val="en-US"/>
              </w:rPr>
            </w:pPr>
            <w:r>
              <w:rPr>
                <w:rFonts w:hint="default"/>
                <w:sz w:val="18"/>
                <w:szCs w:val="18"/>
                <w:lang w:val="en-US"/>
              </w:rPr>
              <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636AB898">
            <w:pPr>
              <w:jc w:val="right"/>
              <w:rPr>
                <w:rFonts w:hint="default"/>
                <w:sz w:val="18"/>
                <w:szCs w:val="18"/>
                <w:lang w:val="en-US"/>
              </w:rPr>
            </w:pPr>
            <w:r>
              <w:rPr>
                <w:rFonts w:hint="default"/>
                <w:sz w:val="18"/>
                <w:szCs w:val="18"/>
                <w:lang w:val="en-US"/>
              </w:rPr>
              <w:t>11.45</w:t>
            </w:r>
          </w:p>
        </w:tc>
        <w:tc>
          <w:tcPr>
            <w:tcW w:w="940" w:type="dxa"/>
            <w:noWrap w:val="0"/>
            <w:vAlign w:val="center"/>
          </w:tcPr>
          <w:p w14:paraId="45740E2F">
            <w:pPr>
              <w:jc w:val="right"/>
              <w:rPr>
                <w:rFonts w:hint="default"/>
                <w:sz w:val="18"/>
                <w:szCs w:val="18"/>
                <w:lang w:val="en-US"/>
              </w:rPr>
            </w:pPr>
            <w:r>
              <w:rPr>
                <w:rFonts w:hint="default"/>
                <w:sz w:val="18"/>
                <w:szCs w:val="18"/>
                <w:lang w:val="en-US"/>
              </w:rPr>
              <w:t>11.45</w:t>
            </w:r>
          </w:p>
        </w:tc>
        <w:tc>
          <w:tcPr>
            <w:tcW w:w="1255" w:type="dxa"/>
            <w:noWrap w:val="0"/>
            <w:vAlign w:val="center"/>
          </w:tcPr>
          <w:p w14:paraId="32E0D7DC">
            <w:pPr>
              <w:jc w:val="right"/>
              <w:rPr>
                <w:rFonts w:hint="default"/>
                <w:sz w:val="18"/>
                <w:szCs w:val="18"/>
                <w:lang w:val="en-US"/>
              </w:rPr>
            </w:pPr>
            <w:r>
              <w:rPr>
                <w:rFonts w:hint="default"/>
                <w:sz w:val="18"/>
                <w:szCs w:val="18"/>
                <w:lang w:val="en-US"/>
              </w:rPr>
              <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636AB898">
            <w:pPr>
              <w:jc w:val="right"/>
              <w:rPr>
                <w:rFonts w:hint="default"/>
                <w:sz w:val="18"/>
                <w:szCs w:val="18"/>
                <w:lang w:val="en-US"/>
              </w:rPr>
            </w:pPr>
            <w:r>
              <w:rPr>
                <w:rFonts w:hint="default"/>
                <w:sz w:val="18"/>
                <w:szCs w:val="18"/>
                <w:lang w:val="en-US"/>
              </w:rPr>
              <w:t>5.72</w:t>
            </w:r>
          </w:p>
        </w:tc>
        <w:tc>
          <w:tcPr>
            <w:tcW w:w="940" w:type="dxa"/>
            <w:noWrap w:val="0"/>
            <w:vAlign w:val="center"/>
          </w:tcPr>
          <w:p w14:paraId="45740E2F">
            <w:pPr>
              <w:jc w:val="right"/>
              <w:rPr>
                <w:rFonts w:hint="default"/>
                <w:sz w:val="18"/>
                <w:szCs w:val="18"/>
                <w:lang w:val="en-US"/>
              </w:rPr>
            </w:pPr>
            <w:r>
              <w:rPr>
                <w:rFonts w:hint="default"/>
                <w:sz w:val="18"/>
                <w:szCs w:val="18"/>
                <w:lang w:val="en-US"/>
              </w:rPr>
              <w:t>5.72</w:t>
            </w:r>
          </w:p>
        </w:tc>
        <w:tc>
          <w:tcPr>
            <w:tcW w:w="1255" w:type="dxa"/>
            <w:noWrap w:val="0"/>
            <w:vAlign w:val="center"/>
          </w:tcPr>
          <w:p w14:paraId="32E0D7DC">
            <w:pPr>
              <w:jc w:val="right"/>
              <w:rPr>
                <w:rFonts w:hint="default"/>
                <w:sz w:val="18"/>
                <w:szCs w:val="18"/>
                <w:lang w:val="en-US"/>
              </w:rPr>
            </w:pPr>
            <w:r>
              <w:rPr>
                <w:rFonts w:hint="default"/>
                <w:sz w:val="18"/>
                <w:szCs w:val="18"/>
                <w:lang w:val="en-US"/>
              </w:rPr>
              <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636AB898">
            <w:pPr>
              <w:jc w:val="right"/>
              <w:rPr>
                <w:rFonts w:hint="default"/>
                <w:sz w:val="18"/>
                <w:szCs w:val="18"/>
                <w:lang w:val="en-US"/>
              </w:rPr>
            </w:pPr>
            <w:r>
              <w:rPr>
                <w:rFonts w:hint="default"/>
                <w:sz w:val="18"/>
                <w:szCs w:val="18"/>
                <w:lang w:val="en-US"/>
              </w:rPr>
              <w:t>3.94</w:t>
            </w:r>
          </w:p>
        </w:tc>
        <w:tc>
          <w:tcPr>
            <w:tcW w:w="940" w:type="dxa"/>
            <w:noWrap w:val="0"/>
            <w:vAlign w:val="center"/>
          </w:tcPr>
          <w:p w14:paraId="45740E2F">
            <w:pPr>
              <w:jc w:val="right"/>
              <w:rPr>
                <w:rFonts w:hint="default"/>
                <w:sz w:val="18"/>
                <w:szCs w:val="18"/>
                <w:lang w:val="en-US"/>
              </w:rPr>
            </w:pPr>
            <w:r>
              <w:rPr>
                <w:rFonts w:hint="default"/>
                <w:sz w:val="18"/>
                <w:szCs w:val="18"/>
                <w:lang w:val="en-US"/>
              </w:rPr>
              <w:t>3.94</w:t>
            </w:r>
          </w:p>
        </w:tc>
        <w:tc>
          <w:tcPr>
            <w:tcW w:w="1255" w:type="dxa"/>
            <w:noWrap w:val="0"/>
            <w:vAlign w:val="center"/>
          </w:tcPr>
          <w:p w14:paraId="32E0D7DC">
            <w:pPr>
              <w:jc w:val="right"/>
              <w:rPr>
                <w:rFonts w:hint="default"/>
                <w:sz w:val="18"/>
                <w:szCs w:val="18"/>
                <w:lang w:val="en-US"/>
              </w:rPr>
            </w:pPr>
            <w:r>
              <w:rPr>
                <w:rFonts w:hint="default"/>
                <w:sz w:val="18"/>
                <w:szCs w:val="18"/>
                <w:lang w:val="en-US"/>
              </w:rPr>
              <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4254A00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
            </w: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636AB898">
            <w:pPr>
              <w:jc w:val="right"/>
              <w:rPr>
                <w:rFonts w:hint="default"/>
                <w:sz w:val="18"/>
                <w:szCs w:val="18"/>
                <w:lang w:val="en-US"/>
              </w:rPr>
            </w:pPr>
            <w:r>
              <w:rPr>
                <w:rFonts w:hint="default"/>
                <w:sz w:val="18"/>
                <w:szCs w:val="18"/>
                <w:lang w:val="en-US"/>
              </w:rPr>
              <w:t>9.76</w:t>
            </w:r>
          </w:p>
        </w:tc>
        <w:tc>
          <w:tcPr>
            <w:tcW w:w="940" w:type="dxa"/>
            <w:noWrap w:val="0"/>
            <w:vAlign w:val="center"/>
          </w:tcPr>
          <w:p w14:paraId="45740E2F">
            <w:pPr>
              <w:jc w:val="right"/>
              <w:rPr>
                <w:rFonts w:hint="default"/>
                <w:sz w:val="18"/>
                <w:szCs w:val="18"/>
                <w:lang w:val="en-US"/>
              </w:rPr>
            </w:pPr>
            <w:r>
              <w:rPr>
                <w:rFonts w:hint="default"/>
                <w:sz w:val="18"/>
                <w:szCs w:val="18"/>
                <w:lang w:val="en-US"/>
              </w:rPr>
              <w:t>9.76</w:t>
            </w:r>
          </w:p>
        </w:tc>
        <w:tc>
          <w:tcPr>
            <w:tcW w:w="1255" w:type="dxa"/>
            <w:noWrap w:val="0"/>
            <w:vAlign w:val="center"/>
          </w:tcPr>
          <w:p w14:paraId="32E0D7DC">
            <w:pPr>
              <w:jc w:val="right"/>
              <w:rPr>
                <w:rFonts w:hint="default"/>
                <w:sz w:val="18"/>
                <w:szCs w:val="18"/>
                <w:lang w:val="en-US"/>
              </w:rPr>
            </w:pPr>
            <w:r>
              <w:rPr>
                <w:rFonts w:hint="default"/>
                <w:sz w:val="18"/>
                <w:szCs w:val="18"/>
                <w:lang w:val="en-US"/>
              </w:rPr>
              <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016" w:type="dxa"/>
            <w:noWrap w:val="0"/>
            <w:vAlign w:val="center"/>
          </w:tcPr>
          <w:p w14:paraId="65E54C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993" w:type="dxa"/>
            <w:noWrap w:val="0"/>
            <w:vAlign w:val="center"/>
          </w:tcPr>
          <w:p w14:paraId="7298822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r>
        <w:rPr>
          <w:rFonts w:hint="eastAsia" w:ascii="宋体" w:hAnsi="宋体" w:cs="宋体"/>
          <w:color w:val="000000"/>
          <w:kern w:val="0"/>
          <w:sz w:val="18"/>
          <w:szCs w:val="18"/>
          <w:lang w:bidi="ar"/>
        </w:rPr>
        <w:t> </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一、本年支出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（一）一般公共服务支出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（二）外交支出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（三）国防支出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（四）公共安全支出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（五）教育支出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（六）科学技术支出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（七）文化旅游体育与传媒支出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93.74</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（八）社会保障和就业支出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22.06</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（九）卫生健康支出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（十）节能环保支出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（十一）城乡社区支出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（十二）农林水支出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（十三）交通运输支出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（十四）资源勘探工业信息等支出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（十五）商业服务业等支出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（十六）金融支出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（十七）援助其他地区支出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（十八）自然资源海洋气象等支出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（十九）住房保障支出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（二十）粮油物资储备支出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（二十一）国有资本经营预算支出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（二十二）灾害防治及应急管理支出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（二十三）其他支出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（二十四）债务付息支出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（二十五）债务发行费用支出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二、结转下年支出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支　　　出　　　总　　　计</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5"/>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129.5</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116.8</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109.04</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129.5</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116.8</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109.04</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219004</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129.5</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116.8</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109.04</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博物馆</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81.74</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81.04</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73.34</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4.89</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0.06</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11.45</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5.72</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3.94</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9.76</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20" w:name="PO_part2Table1Remark5"/>
      <w:r>
        <w:rPr>
          <w:rFonts w:hint="eastAsia" w:ascii="宋体" w:hAnsi="宋体" w:cs="宋体"/>
          <w:color w:val="000000"/>
          <w:kern w:val="0"/>
          <w:sz w:val="18"/>
          <w:szCs w:val="18"/>
          <w:lang w:bidi="ar"/>
        </w:rPr>
        <w:t xml:space="preserve"> 报表金额单位转换时可能存在四舍五入尾数误差。</w:t>
      </w:r>
      <w:r>
        <w:rPr>
          <w:rFonts w:hint="eastAsia" w:ascii="宋体" w:hAnsi="宋体" w:cs="宋体"/>
          <w:color w:val="000000"/>
          <w:kern w:val="0"/>
          <w:sz w:val="18"/>
          <w:szCs w:val="18"/>
          <w:lang w:bidi="ar"/>
        </w:rPr>
        <w:t>  </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1" w:name="PO_part2Table6"/>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2"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22"/>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104.21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104.21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31.21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31.21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37.46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37.46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09</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0.43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0.43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1.72</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0.12</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0.36</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0.24</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2.46</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2.86</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
            </w: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23" w:name="PO_part2Table1Remark6"/>
      <w:r>
        <w:rPr>
          <w:rFonts w:hint="eastAsia" w:ascii="宋体" w:hAnsi="宋体" w:cs="宋体"/>
          <w:color w:val="000000"/>
          <w:kern w:val="0"/>
          <w:sz w:val="18"/>
          <w:szCs w:val="18"/>
          <w:lang w:bidi="ar"/>
        </w:rPr>
        <w:t xml:space="preserve"> 报表金额单位转换时可能存在四舍五入尾数误差。</w:t>
      </w:r>
      <w:r>
        <w:rPr>
          <w:rFonts w:hint="eastAsia" w:ascii="宋体" w:hAnsi="宋体" w:cs="宋体"/>
          <w:color w:val="000000"/>
          <w:kern w:val="0"/>
          <w:sz w:val="18"/>
          <w:szCs w:val="18"/>
          <w:lang w:bidi="ar"/>
        </w:rPr>
        <w:t> </w:t>
      </w:r>
      <w:bookmarkEnd w:id="21"/>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4" w:name="PO_part2Table7"/>
    </w:p>
    <w:tbl>
      <w:tblPr>
        <w:tblStyle w:val="5"/>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5"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25"/>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6"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r>
        <w:rPr>
          <w:rFonts w:hint="eastAsia" w:ascii="宋体" w:hAnsi="宋体"/>
          <w:color w:val="000000"/>
          <w:kern w:val="0"/>
          <w:sz w:val="18"/>
          <w:szCs w:val="18"/>
        </w:rPr>
        <w:t/>
      </w:r>
    </w:p>
    <w:p w14:paraId="749FCB29">
      <w:pPr>
        <w:rPr>
          <w:rFonts w:hint="eastAsia" w:ascii="宋体" w:hAnsi="宋体"/>
          <w:color w:val="000000"/>
          <w:kern w:val="0"/>
          <w:sz w:val="18"/>
          <w:szCs w:val="18"/>
        </w:rPr>
      </w:pPr>
      <w:r>
        <w:rPr>
          <w:rFonts w:hint="eastAsia" w:ascii="宋体" w:hAnsi="宋体"/>
          <w:color w:val="000000"/>
          <w:kern w:val="0"/>
          <w:sz w:val="18"/>
          <w:szCs w:val="18"/>
        </w:rPr>
        <w:t>本部门</w:t>
      </w:r>
      <w:r>
        <w:rPr>
          <w:rFonts w:hint="eastAsia" w:ascii="宋体" w:hAnsi="宋体"/>
          <w:color w:val="000000"/>
          <w:kern w:val="0"/>
          <w:sz w:val="18"/>
          <w:szCs w:val="18"/>
        </w:rPr>
        <w:t>2026</w:t>
      </w:r>
      <w:r>
        <w:rPr>
          <w:rFonts w:hint="eastAsia" w:ascii="宋体" w:hAnsi="宋体"/>
          <w:color w:val="000000"/>
          <w:kern w:val="0"/>
          <w:sz w:val="18"/>
          <w:szCs w:val="18"/>
        </w:rPr>
        <w:t>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 </w:t>
      </w:r>
      <w:bookmarkEnd w:id="24"/>
      <w:bookmarkEnd w:id="26"/>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7" w:name="PO_part2Table8"/>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8"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rPr>
              <w:t>百色起义革命旧址管理处</w:t>
            </w:r>
            <w:r>
              <w:rPr>
                <w:rFonts w:hint="eastAsia" w:ascii="宋体" w:hAnsi="宋体"/>
                <w:color w:val="000000"/>
                <w:kern w:val="0"/>
                <w:sz w:val="18"/>
                <w:szCs w:val="18"/>
              </w:rPr>
              <w:t xml:space="preserve"> </w:t>
            </w:r>
            <w:bookmarkEnd w:id="28"/>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9"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r>
        <w:rPr>
          <w:rFonts w:hint="eastAsia" w:ascii="宋体" w:hAnsi="宋体"/>
          <w:color w:val="000000"/>
          <w:kern w:val="0"/>
          <w:sz w:val="18"/>
          <w:szCs w:val="18"/>
        </w:rPr>
        <w:t/>
      </w:r>
    </w:p>
    <w:p w14:paraId="76C449D5">
      <w:pPr>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rPr>
        <w:t>2026</w:t>
      </w:r>
      <w:bookmarkStart w:id="76" w:name="_GoBack"/>
      <w:bookmarkEnd w:id="76"/>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9"/>
      <w:r>
        <w:rPr>
          <w:rFonts w:hint="eastAsia" w:ascii="宋体" w:hAnsi="宋体" w:cs="宋体"/>
          <w:color w:val="000000"/>
          <w:kern w:val="0"/>
          <w:sz w:val="18"/>
          <w:szCs w:val="18"/>
          <w:lang w:bidi="ar"/>
        </w:rPr>
        <w:t/>
      </w:r>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5"/>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百色起义革命旧址管理处</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r>
        <w:rPr>
          <w:rFonts w:hint="eastAsia" w:ascii="宋体" w:hAnsi="宋体"/>
          <w:color w:val="000000"/>
          <w:kern w:val="0"/>
          <w:sz w:val="18"/>
          <w:szCs w:val="18"/>
        </w:rPr>
        <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30" w:name="PO_part3Year1"/>
      <w:r>
        <w:rPr>
          <w:rFonts w:hint="eastAsia" w:ascii="黑体" w:hAnsi="黑体" w:eastAsia="黑体" w:cs="方正小标宋简体"/>
          <w:sz w:val="44"/>
          <w:szCs w:val="44"/>
        </w:rPr>
        <w:t>百色起义革命旧址管理处</w:t>
      </w:r>
      <w:bookmarkEnd w:id="30"/>
      <w:r>
        <w:rPr>
          <w:rFonts w:hint="eastAsia" w:ascii="黑体" w:hAnsi="黑体" w:eastAsia="黑体" w:cs="方正小标宋简体"/>
          <w:sz w:val="44"/>
          <w:szCs w:val="44"/>
        </w:rPr>
        <w:t>2026</w:t>
      </w:r>
      <w:r>
        <w:rPr>
          <w:rFonts w:hint="eastAsia" w:ascii="黑体" w:hAnsi="黑体" w:eastAsia="黑体" w:cs="方正小标宋简体"/>
          <w:sz w:val="44"/>
          <w:szCs w:val="44"/>
        </w:rPr>
        <w:t>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年本</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bookmarkStart w:id="31" w:name="PO_part3A1IncAmount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bookmarkEnd w:id="31"/>
      <w:r>
        <w:rPr>
          <w:rFonts w:hint="eastAsia" w:ascii="仿宋_GB2312" w:hAnsi="仿宋_GB2312" w:eastAsia="仿宋_GB2312" w:cs="仿宋_GB2312"/>
          <w:sz w:val="30"/>
          <w:szCs w:val="30"/>
        </w:rPr>
        <w:t>主要原因是：</w:t>
      </w:r>
      <w:bookmarkStart w:id="32" w:name="PO_part3A1IncReason1"/>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bookmarkEnd w:id="32"/>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万元（不含财政拨款上年未列支结转收支数），</w:t>
      </w:r>
      <w:bookmarkStart w:id="33" w:name="PO_part3A1IncAmount2"/>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bookmarkEnd w:id="33"/>
      <w:r>
        <w:rPr>
          <w:rFonts w:hint="eastAsia" w:ascii="仿宋_GB2312" w:hAnsi="仿宋_GB2312" w:eastAsia="仿宋_GB2312" w:cs="仿宋_GB2312"/>
          <w:sz w:val="30"/>
          <w:szCs w:val="30"/>
        </w:rPr>
        <w:t>主要原因是：</w:t>
      </w:r>
      <w:bookmarkStart w:id="34" w:name="PO_part3A1IncReason2"/>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34"/>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年收入总预算</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bookmarkStart w:id="35" w:name="PO_part3A2IncAmount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bookmarkEnd w:id="35"/>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其中：</w:t>
      </w:r>
      <w:bookmarkStart w:id="36" w:name="PO_part3A2IncReason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一般公共预算拨款</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万元，占收入总预算</w:t>
      </w:r>
      <w:r>
        <w:rPr>
          <w:rFonts w:hint="eastAsia" w:ascii="仿宋_GB2312" w:hAnsi="仿宋_GB2312" w:eastAsia="仿宋_GB2312" w:cs="仿宋_GB2312"/>
          <w:sz w:val="30"/>
          <w:szCs w:val="30"/>
        </w:rPr>
        <w:t>100.00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
      </w:r>
      <w:r>
        <w:rPr>
          <w:rFonts w:hint="eastAsia" w:ascii="仿宋_GB2312" w:hAnsi="仿宋_GB2312" w:eastAsia="仿宋_GB2312" w:cs="仿宋_GB2312"/>
          <w:sz w:val="30"/>
          <w:szCs w:val="30"/>
        </w:rPr>
        <w:t>政府性基金预算</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万元，占收入总预算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
      </w:r>
      <w:r>
        <w:rPr>
          <w:rFonts w:hint="eastAsia" w:ascii="仿宋_GB2312" w:hAnsi="仿宋_GB2312" w:eastAsia="仿宋_GB2312" w:cs="仿宋_GB2312"/>
          <w:sz w:val="30"/>
          <w:szCs w:val="30"/>
        </w:rPr>
        <w:t>国有资本经营预算</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万元，占收入总预算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
      </w:r>
      <w:r>
        <w:rPr>
          <w:rFonts w:hint="eastAsia" w:ascii="仿宋_GB2312" w:hAnsi="仿宋_GB2312" w:eastAsia="仿宋_GB2312" w:cs="仿宋_GB2312"/>
          <w:sz w:val="30"/>
          <w:szCs w:val="30"/>
        </w:rPr>
        <w:t>财政专户管理资金</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万元，占收入总预算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
      </w:r>
      <w:r>
        <w:rPr>
          <w:rFonts w:hint="eastAsia" w:ascii="仿宋_GB2312" w:hAnsi="仿宋_GB2312" w:eastAsia="仿宋_GB2312" w:cs="仿宋_GB2312"/>
          <w:sz w:val="30"/>
          <w:szCs w:val="30"/>
        </w:rPr>
        <w:t>单位资金</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万元，占收入总预算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lang w:val="en-US" w:eastAsia="zh-CN"/>
        </w:rPr>
        <w:t/>
      </w:r>
      <w:r>
        <w:rPr>
          <w:rFonts w:hint="eastAsia" w:ascii="仿宋_GB2312" w:hAnsi="仿宋_GB2312" w:eastAsia="仿宋_GB2312" w:cs="仿宋_GB2312"/>
          <w:sz w:val="30"/>
          <w:szCs w:val="30"/>
        </w:rPr>
        <w:t>。</w:t>
      </w:r>
      <w:bookmarkEnd w:id="36"/>
      <w:r>
        <w:rPr>
          <w:rFonts w:hint="eastAsia" w:ascii="仿宋_GB2312" w:hAnsi="仿宋_GB2312" w:eastAsia="仿宋_GB2312" w:cs="仿宋_GB2312"/>
          <w:sz w:val="30"/>
          <w:szCs w:val="30"/>
          <w:lang w:val="en-US" w:eastAsia="zh-CN"/>
        </w:rPr>
        <w:t/>
      </w:r>
    </w:p>
    <w:p w14:paraId="55C2C4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年收入预算总体</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，主要原因是：</w:t>
      </w:r>
      <w:bookmarkStart w:id="37" w:name="PO_part3A2IncReason2"/>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p>
    <w:p w14:paraId="03E3DB4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37"/>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4E0FA1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年支出总预算</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万元，其中：基本支出预算</w:t>
      </w:r>
      <w:r>
        <w:rPr>
          <w:rFonts w:hint="eastAsia" w:ascii="仿宋_GB2312" w:hAnsi="仿宋_GB2312" w:eastAsia="仿宋_GB2312" w:cs="仿宋_GB2312"/>
          <w:sz w:val="30"/>
          <w:szCs w:val="30"/>
        </w:rPr>
        <w:t>116.8</w:t>
      </w:r>
      <w:r>
        <w:rPr>
          <w:rFonts w:hint="eastAsia" w:ascii="仿宋_GB2312" w:hAnsi="仿宋_GB2312" w:eastAsia="仿宋_GB2312" w:cs="仿宋_GB2312"/>
          <w:sz w:val="30"/>
          <w:szCs w:val="30"/>
        </w:rPr>
        <w:t>万元，占支出总预算</w:t>
      </w:r>
      <w:r>
        <w:rPr>
          <w:rFonts w:hint="eastAsia" w:ascii="仿宋_GB2312" w:hAnsi="仿宋_GB2312" w:eastAsia="仿宋_GB2312" w:cs="仿宋_GB2312"/>
          <w:sz w:val="30"/>
          <w:szCs w:val="30"/>
        </w:rPr>
        <w:t>90.19</w:t>
      </w:r>
      <w:r>
        <w:rPr>
          <w:rFonts w:hint="eastAsia" w:ascii="仿宋_GB2312" w:hAnsi="仿宋_GB2312" w:eastAsia="仿宋_GB2312" w:cs="仿宋_GB2312"/>
          <w:sz w:val="30"/>
          <w:szCs w:val="30"/>
        </w:rPr>
        <w:t>%，</w:t>
      </w:r>
      <w:bookmarkStart w:id="38" w:name="PO_part3A3IncReason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5.38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lang w:eastAsia="zh-CN"/>
        </w:rPr>
        <w:t>。</w:t>
      </w:r>
      <w:bookmarkEnd w:id="38"/>
      <w:r>
        <w:rPr>
          <w:rFonts w:hint="eastAsia" w:ascii="仿宋_GB2312" w:hAnsi="仿宋_GB2312" w:eastAsia="仿宋_GB2312" w:cs="仿宋_GB2312"/>
          <w:sz w:val="30"/>
          <w:szCs w:val="30"/>
        </w:rPr>
        <w:t>项目支出预算</w:t>
      </w:r>
      <w:r>
        <w:rPr>
          <w:rFonts w:hint="eastAsia" w:ascii="仿宋_GB2312" w:hAnsi="仿宋_GB2312" w:eastAsia="仿宋_GB2312" w:cs="仿宋_GB2312"/>
          <w:sz w:val="30"/>
          <w:szCs w:val="30"/>
        </w:rPr>
        <w:t>12.7</w:t>
      </w:r>
      <w:r>
        <w:rPr>
          <w:rFonts w:hint="eastAsia" w:ascii="仿宋_GB2312" w:hAnsi="仿宋_GB2312" w:eastAsia="仿宋_GB2312" w:cs="仿宋_GB2312"/>
          <w:sz w:val="30"/>
          <w:szCs w:val="30"/>
        </w:rPr>
        <w:t>万元，占支出总预算</w:t>
      </w:r>
      <w:r>
        <w:rPr>
          <w:rFonts w:hint="eastAsia" w:ascii="仿宋_GB2312" w:hAnsi="仿宋_GB2312" w:eastAsia="仿宋_GB2312" w:cs="仿宋_GB2312"/>
          <w:sz w:val="30"/>
          <w:szCs w:val="30"/>
        </w:rPr>
        <w:t>9.81</w:t>
      </w:r>
      <w:r>
        <w:rPr>
          <w:rFonts w:hint="eastAsia" w:ascii="仿宋_GB2312" w:hAnsi="仿宋_GB2312" w:eastAsia="仿宋_GB2312" w:cs="仿宋_GB2312"/>
          <w:sz w:val="30"/>
          <w:szCs w:val="30"/>
        </w:rPr>
        <w:t>%，</w:t>
      </w:r>
      <w:bookmarkStart w:id="39" w:name="PO_part3A3IncReason2"/>
      <w:r>
        <w:rPr>
          <w:rFonts w:hint="eastAsia" w:ascii="仿宋_GB2312" w:hAnsi="仿宋_GB2312" w:eastAsia="仿宋_GB2312" w:cs="仿宋_GB2312"/>
          <w:sz w:val="30"/>
          <w:szCs w:val="30"/>
        </w:rPr>
        <w:t>与上年持平，无增减变化。</w:t>
      </w:r>
      <w:bookmarkEnd w:id="39"/>
      <w:bookmarkStart w:id="40" w:name="PO_part3A3IncReason7"/>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0"/>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年财政拨款收入总预算</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bookmarkStart w:id="41" w:name="PO_part3A4IncAmount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bookmarkEnd w:id="41"/>
      <w:bookmarkStart w:id="42" w:name="PO_part3A4IncReason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收入包括：</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一般公共预算拨款</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政府性基金预算拨款</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国有资本经营预算拨款</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w:t>
      </w:r>
      <w:bookmarkEnd w:id="42"/>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财政拨款</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主要原因是：</w:t>
      </w:r>
      <w:bookmarkStart w:id="43" w:name="PO_part3A4IncReason2"/>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bookmarkEnd w:id="43"/>
    </w:p>
    <w:p w14:paraId="21947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年财政拨款支出总预算</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bookmarkStart w:id="44" w:name="PO_part3A4IncAmount3"/>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
      </w:r>
      <w:bookmarkEnd w:id="44"/>
      <w:bookmarkStart w:id="45" w:name="PO_part3A4IncReason3"/>
      <w:r>
        <w:rPr>
          <w:rFonts w:hint="eastAsia" w:ascii="仿宋_GB2312" w:hAnsi="仿宋_GB2312" w:eastAsia="仿宋_GB2312" w:cs="仿宋_GB2312"/>
          <w:sz w:val="30"/>
          <w:szCs w:val="30"/>
        </w:rPr>
        <w:t>支出包括：</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文化旅游体育与传媒支出</w:t>
      </w:r>
      <w:r>
        <w:rPr>
          <w:rFonts w:hint="eastAsia" w:ascii="仿宋_GB2312" w:hAnsi="仿宋_GB2312" w:eastAsia="仿宋_GB2312" w:cs="仿宋_GB2312"/>
          <w:sz w:val="30"/>
          <w:szCs w:val="30"/>
        </w:rPr>
        <w:t>93.74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rPr>
        <w:t>22.06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卫生健康支出</w:t>
      </w:r>
      <w:r>
        <w:rPr>
          <w:rFonts w:hint="eastAsia" w:ascii="仿宋_GB2312" w:hAnsi="仿宋_GB2312" w:eastAsia="仿宋_GB2312" w:cs="仿宋_GB2312"/>
          <w:sz w:val="30"/>
          <w:szCs w:val="30"/>
        </w:rPr>
        <w:t>3.94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t>住房保障支出</w:t>
      </w:r>
      <w:r>
        <w:rPr>
          <w:rFonts w:hint="eastAsia" w:ascii="仿宋_GB2312" w:hAnsi="仿宋_GB2312" w:eastAsia="仿宋_GB2312" w:cs="仿宋_GB2312"/>
          <w:sz w:val="30"/>
          <w:szCs w:val="30"/>
        </w:rPr>
        <w:t>9.76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w:t>
      </w:r>
      <w:bookmarkEnd w:id="45"/>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财政拨款支出</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主要原因是：</w:t>
      </w:r>
      <w:bookmarkStart w:id="46" w:name="PO_part3A4IncReason4"/>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p>
    <w:p w14:paraId="6FBCB0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6"/>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年一般公共预算拨款支出</w:t>
      </w:r>
      <w:r>
        <w:rPr>
          <w:rFonts w:hint="eastAsia" w:ascii="仿宋_GB2312" w:hAnsi="仿宋_GB2312" w:eastAsia="仿宋_GB2312" w:cs="仿宋_GB2312"/>
          <w:sz w:val="30"/>
          <w:szCs w:val="30"/>
        </w:rPr>
        <w:t>129.5</w:t>
      </w:r>
      <w:r>
        <w:rPr>
          <w:rFonts w:hint="eastAsia" w:ascii="仿宋_GB2312" w:hAnsi="仿宋_GB2312" w:eastAsia="仿宋_GB2312" w:cs="仿宋_GB2312"/>
          <w:sz w:val="30"/>
          <w:szCs w:val="30"/>
        </w:rPr>
        <w:t>万元，</w:t>
      </w:r>
      <w:bookmarkStart w:id="47" w:name="PO_part3A5IncAmount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4.82</w:t>
      </w:r>
      <w:r>
        <w:rPr>
          <w:rFonts w:hint="eastAsia" w:ascii="仿宋_GB2312" w:hAnsi="仿宋_GB2312" w:eastAsia="仿宋_GB2312" w:cs="仿宋_GB2312"/>
          <w:sz w:val="30"/>
          <w:szCs w:val="30"/>
        </w:rPr>
        <w:t>%。</w:t>
      </w:r>
      <w:bookmarkEnd w:id="47"/>
      <w:r>
        <w:rPr>
          <w:rFonts w:hint="eastAsia" w:ascii="仿宋_GB2312" w:hAnsi="仿宋_GB2312" w:eastAsia="仿宋_GB2312" w:cs="仿宋_GB2312"/>
          <w:sz w:val="30"/>
          <w:szCs w:val="30"/>
        </w:rPr>
        <w:t>其中：基本支出</w:t>
      </w:r>
      <w:r>
        <w:rPr>
          <w:rFonts w:hint="eastAsia" w:ascii="仿宋_GB2312" w:hAnsi="仿宋_GB2312" w:eastAsia="仿宋_GB2312" w:cs="仿宋_GB2312"/>
          <w:sz w:val="30"/>
          <w:szCs w:val="30"/>
        </w:rPr>
        <w:t>116.8</w:t>
      </w:r>
      <w:r>
        <w:rPr>
          <w:rFonts w:hint="eastAsia" w:ascii="仿宋_GB2312" w:hAnsi="仿宋_GB2312" w:eastAsia="仿宋_GB2312" w:cs="仿宋_GB2312"/>
          <w:sz w:val="30"/>
          <w:szCs w:val="30"/>
        </w:rPr>
        <w:t>万元，项目支出</w:t>
      </w:r>
      <w:r>
        <w:rPr>
          <w:rFonts w:hint="eastAsia" w:ascii="仿宋_GB2312" w:hAnsi="仿宋_GB2312" w:eastAsia="仿宋_GB2312" w:cs="仿宋_GB2312"/>
          <w:sz w:val="30"/>
          <w:szCs w:val="30"/>
        </w:rPr>
        <w:t>12.7</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具体支出预算如下：</w:t>
      </w:r>
      <w:bookmarkStart w:id="48" w:name="PO_part3A5IncReason1"/>
      <w:r>
        <w:rPr>
          <w:rFonts w:hint="eastAsia" w:ascii="仿宋_GB2312" w:hAnsi="仿宋_GB2312" w:eastAsia="仿宋_GB2312" w:cs="仿宋_GB2312"/>
          <w:sz w:val="30"/>
          <w:szCs w:val="30"/>
        </w:rPr>
        <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文物</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博物馆</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与上年持平，无增减变化。</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文物</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其他文物支出</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81.74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5.82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7.67</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在职人员调资</w:t>
      </w:r>
      <w:r>
        <w:rPr>
          <w:rFonts w:hint="eastAsia" w:ascii="仿宋_GB2312" w:hAnsi="仿宋_GB2312" w:eastAsia="仿宋_GB2312" w:cs="仿宋_GB2312"/>
          <w:sz w:val="30"/>
          <w:szCs w:val="30"/>
        </w:rPr>
        <w:t>。</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行政事业单位养老支出</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事业单位离退休</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4.89</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与上年持平，无增减变化。</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行政事业单位养老支出</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机关事业单位基本养老保险缴费支出</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11.45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rPr>
        <w:t>0.62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rPr>
        <w:t>5.14</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养老保险缴费基数调整</w:t>
      </w:r>
      <w:r>
        <w:rPr>
          <w:rFonts w:hint="eastAsia" w:ascii="仿宋_GB2312" w:hAnsi="仿宋_GB2312" w:eastAsia="仿宋_GB2312" w:cs="仿宋_GB2312"/>
          <w:sz w:val="30"/>
          <w:szCs w:val="30"/>
        </w:rPr>
        <w:t>。</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行政事业单位养老支出</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机关事业单位职业年金缴费支出</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5.72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rPr>
        <w:t>0.32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rPr>
        <w:t>5.30</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职业年金缴费基数调整</w:t>
      </w:r>
      <w:r>
        <w:rPr>
          <w:rFonts w:hint="eastAsia" w:ascii="仿宋_GB2312" w:hAnsi="仿宋_GB2312" w:eastAsia="仿宋_GB2312" w:cs="仿宋_GB2312"/>
          <w:sz w:val="30"/>
          <w:szCs w:val="30"/>
        </w:rPr>
        <w:t>。</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行政事业单位医疗</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事业单位医疗</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3.94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0.38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10.67</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医疗保险缴费基数调整</w:t>
      </w:r>
      <w:r>
        <w:rPr>
          <w:rFonts w:hint="eastAsia" w:ascii="仿宋_GB2312" w:hAnsi="仿宋_GB2312" w:eastAsia="仿宋_GB2312" w:cs="仿宋_GB2312"/>
          <w:sz w:val="30"/>
          <w:szCs w:val="30"/>
        </w:rPr>
        <w:t>。</w:t>
      </w:r>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住房改革支出</w:t>
      </w:r>
      <w:r>
        <w:rPr>
          <w:rFonts w:hint="eastAsia" w:ascii="仿宋_GB2312" w:hAnsi="仿宋_GB2312" w:eastAsia="仿宋_GB2312" w:cs="仿宋_GB2312"/>
          <w:sz w:val="30"/>
          <w:szCs w:val="30"/>
        </w:rPr>
        <w:t>（款）</w:t>
      </w:r>
      <w:r>
        <w:rPr>
          <w:rFonts w:hint="eastAsia" w:ascii="仿宋_GB2312" w:hAnsi="仿宋_GB2312" w:eastAsia="仿宋_GB2312" w:cs="仿宋_GB2312"/>
          <w:sz w:val="30"/>
          <w:szCs w:val="30"/>
        </w:rPr>
        <w:t>住房公积金</w:t>
      </w:r>
      <w:r>
        <w:rPr>
          <w:rFonts w:hint="eastAsia" w:ascii="仿宋_GB2312" w:hAnsi="仿宋_GB2312" w:eastAsia="仿宋_GB2312" w:cs="仿宋_GB2312"/>
          <w:sz w:val="30"/>
          <w:szCs w:val="30"/>
        </w:rPr>
        <w:t>（项）支出</w:t>
      </w:r>
      <w:r>
        <w:rPr>
          <w:rFonts w:hint="eastAsia" w:ascii="仿宋_GB2312" w:hAnsi="仿宋_GB2312" w:eastAsia="仿宋_GB2312" w:cs="仿宋_GB2312"/>
          <w:sz w:val="30"/>
          <w:szCs w:val="30"/>
        </w:rPr>
        <w:t>9.76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0.70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7.73</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rPr>
        <w:t>住房公积金缴费基数调整</w:t>
      </w:r>
      <w:r>
        <w:rPr>
          <w:rFonts w:hint="eastAsia" w:ascii="仿宋_GB2312" w:hAnsi="仿宋_GB2312" w:eastAsia="仿宋_GB2312" w:cs="仿宋_GB2312"/>
          <w:sz w:val="30"/>
          <w:szCs w:val="30"/>
        </w:rPr>
        <w:t>。</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8"/>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年一般公共预算基本支出</w:t>
      </w:r>
      <w:r>
        <w:rPr>
          <w:rFonts w:hint="eastAsia" w:ascii="仿宋_GB2312" w:hAnsi="仿宋_GB2312" w:eastAsia="仿宋_GB2312" w:cs="仿宋_GB2312"/>
          <w:sz w:val="30"/>
          <w:szCs w:val="30"/>
        </w:rPr>
        <w:t>116.8</w:t>
      </w:r>
      <w:r>
        <w:rPr>
          <w:rFonts w:hint="eastAsia" w:ascii="仿宋_GB2312" w:hAnsi="仿宋_GB2312" w:eastAsia="仿宋_GB2312" w:cs="仿宋_GB2312"/>
          <w:sz w:val="30"/>
          <w:szCs w:val="30"/>
        </w:rPr>
        <w:t>万元，</w:t>
      </w:r>
      <w:bookmarkStart w:id="49" w:name="PO_part3A6IncAmount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5.38</w:t>
      </w:r>
      <w:r>
        <w:rPr>
          <w:rFonts w:hint="eastAsia" w:ascii="仿宋_GB2312" w:hAnsi="仿宋_GB2312" w:eastAsia="仿宋_GB2312" w:cs="仿宋_GB2312"/>
          <w:sz w:val="30"/>
          <w:szCs w:val="30"/>
        </w:rPr>
        <w:t>%。</w:t>
      </w:r>
      <w:bookmarkEnd w:id="49"/>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50" w:name="PO_part3A6Amount2"/>
      <w:r>
        <w:rPr>
          <w:rFonts w:hint="eastAsia" w:ascii="仿宋_GB2312" w:hAnsi="仿宋_GB2312" w:eastAsia="仿宋_GB2312" w:cs="仿宋_GB2312"/>
          <w:sz w:val="30"/>
          <w:szCs w:val="30"/>
        </w:rPr>
        <w:t>109.04</w:t>
      </w:r>
      <w:bookmarkEnd w:id="50"/>
      <w:r>
        <w:rPr>
          <w:rFonts w:hint="eastAsia" w:ascii="仿宋_GB2312" w:hAnsi="仿宋_GB2312" w:eastAsia="仿宋_GB2312" w:cs="仿宋_GB2312"/>
          <w:sz w:val="30"/>
          <w:szCs w:val="30"/>
        </w:rPr>
        <w:t>万元，</w:t>
      </w:r>
      <w:bookmarkStart w:id="51" w:name="PO_part3A6IncAmount2"/>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5.96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5.78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
      </w:r>
      <w:r>
        <w:rPr>
          <w:rFonts w:hint="eastAsia" w:ascii="仿宋_GB2312" w:hAnsi="仿宋_GB2312" w:eastAsia="仿宋_GB2312" w:cs="仿宋_GB2312"/>
          <w:sz w:val="30"/>
          <w:szCs w:val="30"/>
        </w:rPr>
        <w:t/>
      </w:r>
      <w:bookmarkEnd w:id="51"/>
      <w:r>
        <w:rPr>
          <w:rFonts w:hint="eastAsia" w:ascii="仿宋_GB2312" w:hAnsi="仿宋_GB2312" w:eastAsia="仿宋_GB2312" w:cs="仿宋_GB2312"/>
          <w:sz w:val="30"/>
          <w:szCs w:val="30"/>
        </w:rPr>
        <w:t>主要包括：</w:t>
      </w:r>
      <w:bookmarkStart w:id="52" w:name="PO_part3A6IncReason1"/>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基本工资</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31.21</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津贴补贴</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4.24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绩效工资</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37.46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机关事业单位基本养老保险缴费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11.45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职业年金缴费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5.72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职工基本医疗保险缴费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3.94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其他社会保障缴费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0.43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住房公积金</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9.76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退休费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4.83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bookmarkEnd w:id="52"/>
      <w:r>
        <w:rPr>
          <w:rFonts w:hint="eastAsia" w:ascii="仿宋_GB2312" w:hAnsi="仿宋_GB2312" w:eastAsia="仿宋_GB2312" w:cs="仿宋_GB2312"/>
          <w:sz w:val="30"/>
          <w:szCs w:val="30"/>
        </w:rPr>
        <w:t/>
      </w:r>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w:t>
      </w:r>
      <w:r>
        <w:rPr>
          <w:rFonts w:hint="eastAsia" w:ascii="仿宋_GB2312" w:hAnsi="仿宋_GB2312" w:eastAsia="仿宋_GB2312" w:cs="仿宋_GB2312"/>
          <w:sz w:val="30"/>
          <w:szCs w:val="30"/>
        </w:rPr>
        <w:t>7.76</w:t>
      </w:r>
      <w:r>
        <w:rPr>
          <w:rFonts w:hint="eastAsia" w:ascii="仿宋_GB2312" w:hAnsi="仿宋_GB2312" w:eastAsia="仿宋_GB2312" w:cs="仿宋_GB2312"/>
          <w:sz w:val="30"/>
          <w:szCs w:val="30"/>
        </w:rPr>
        <w:t>万元，</w:t>
      </w:r>
      <w:bookmarkStart w:id="53" w:name="PO_part3A6IncAmount3"/>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
      </w:r>
      <w:bookmarkEnd w:id="53"/>
      <w:r>
        <w:rPr>
          <w:rFonts w:hint="eastAsia" w:ascii="仿宋_GB2312" w:hAnsi="仿宋_GB2312" w:eastAsia="仿宋_GB2312" w:cs="仿宋_GB2312"/>
          <w:sz w:val="30"/>
          <w:szCs w:val="30"/>
        </w:rPr>
        <w:t>主要包括：</w:t>
      </w:r>
      <w:bookmarkStart w:id="54" w:name="PO_part3A6IncReason2"/>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办公费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1.72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水费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0.12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电费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0.36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邮电费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0.24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差旅费</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2.46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w:t>
      </w:r>
      <w:r>
        <w:rPr>
          <w:rFonts w:hint="eastAsia" w:ascii="仿宋_GB2312" w:hAnsi="仿宋_GB2312" w:eastAsia="仿宋_GB2312" w:cs="仿宋_GB2312"/>
          <w:sz w:val="30"/>
          <w:szCs w:val="30"/>
        </w:rPr>
        <w:t>（类）</w:t>
      </w:r>
      <w:r>
        <w:rPr>
          <w:rFonts w:hint="eastAsia" w:ascii="仿宋_GB2312" w:hAnsi="仿宋_GB2312" w:eastAsia="仿宋_GB2312" w:cs="仿宋_GB2312"/>
          <w:sz w:val="30"/>
          <w:szCs w:val="30"/>
        </w:rPr>
        <w:t>其他商品和服务支出</w:t>
      </w:r>
      <w:r>
        <w:rPr>
          <w:rFonts w:hint="eastAsia" w:ascii="仿宋_GB2312" w:hAnsi="仿宋_GB2312" w:eastAsia="仿宋_GB2312" w:cs="仿宋_GB2312"/>
          <w:sz w:val="30"/>
          <w:szCs w:val="30"/>
        </w:rPr>
        <w:t>（款）支出</w:t>
      </w:r>
      <w:r>
        <w:rPr>
          <w:rFonts w:hint="eastAsia" w:ascii="仿宋_GB2312" w:hAnsi="仿宋_GB2312" w:eastAsia="仿宋_GB2312" w:cs="仿宋_GB2312"/>
          <w:sz w:val="30"/>
          <w:szCs w:val="30"/>
        </w:rPr>
        <w:t>2.86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
      </w:r>
    </w:p>
    <w:bookmarkEnd w:id="54"/>
    <w:p w14:paraId="3208974A">
      <w:pPr>
        <w:ind w:firstLine="600" w:firstLineChars="200"/>
        <w:rPr>
          <w:rFonts w:ascii="仿宋_GB2312" w:hAnsi="仿宋_GB2312" w:eastAsia="仿宋_GB2312" w:cs="仿宋_GB2312"/>
          <w:sz w:val="30"/>
          <w:szCs w:val="30"/>
        </w:rPr>
      </w:pPr>
    </w:p>
    <w:p w14:paraId="16C9C27F">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lang w:val="en-US" w:eastAsia="zh-CN"/>
        </w:rPr>
        <w:t>年一般公共预算安排的“三公”经费支出预算</w:t>
      </w:r>
      <w:r>
        <w:rPr>
          <w:rFonts w:hint="eastAsia" w:ascii="仿宋_GB2312" w:hAnsi="仿宋_GB2312" w:eastAsia="仿宋_GB2312" w:cs="仿宋_GB2312"/>
          <w:sz w:val="30"/>
          <w:szCs w:val="30"/>
          <w:lang w:val="en-US" w:eastAsia="zh-CN"/>
        </w:rPr>
        <w:t>0.00</w:t>
      </w:r>
      <w:r>
        <w:rPr>
          <w:rFonts w:hint="eastAsia" w:ascii="仿宋_GB2312" w:hAnsi="仿宋_GB2312" w:eastAsia="仿宋_GB2312" w:cs="仿宋_GB2312"/>
          <w:sz w:val="30"/>
          <w:szCs w:val="30"/>
          <w:lang w:val="en-US" w:eastAsia="zh-CN"/>
        </w:rPr>
        <w:t>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lang w:val="en-US" w:eastAsia="zh-CN"/>
        </w:rPr>
        <w:t>万元，</w:t>
      </w:r>
      <w:r>
        <w:rPr>
          <w:rFonts w:hint="eastAsia" w:ascii="仿宋_GB2312" w:hAnsi="仿宋_GB2312" w:eastAsia="仿宋_GB2312" w:cs="仿宋_GB2312"/>
          <w:sz w:val="30"/>
          <w:szCs w:val="30"/>
          <w:lang w:val="en-US" w:eastAsia="zh-CN"/>
        </w:rPr>
        <w:t>与上年持平，无增减变化。</w:t>
      </w:r>
      <w:bookmarkEnd w:id="55"/>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bookmarkStart w:id="56" w:name="PO_part3A7IncAmount2"/>
      <w:r>
        <w:rPr>
          <w:rFonts w:hint="eastAsia" w:ascii="仿宋_GB2312" w:hAnsi="仿宋_GB2312" w:eastAsia="仿宋_GB2312" w:cs="仿宋_GB2312"/>
          <w:sz w:val="30"/>
          <w:szCs w:val="30"/>
        </w:rPr>
        <w:t>与上年持平，无增减变化。 </w:t>
      </w:r>
      <w:bookmarkEnd w:id="57"/>
      <w:r>
        <w:rPr>
          <w:rFonts w:hint="eastAsia" w:ascii="仿宋_GB2312" w:hAnsi="仿宋_GB2312" w:eastAsia="仿宋_GB2312" w:cs="仿宋_GB2312"/>
          <w:sz w:val="30"/>
          <w:szCs w:val="30"/>
        </w:rPr>
        <w:t/>
      </w:r>
      <w:r>
        <w:rPr>
          <w:rFonts w:hint="eastAsia" w:ascii="仿宋_GB2312" w:eastAsia="仿宋_GB2312" w:cs="仿宋_GB2312"/>
          <w:color w:val="000000"/>
          <w:kern w:val="0"/>
          <w:sz w:val="32"/>
          <w:szCs w:val="32"/>
        </w:rPr>
        <w:t xml:space="preserve"> </w:t>
      </w:r>
      <w:bookmarkEnd w:id="58"/>
    </w:p>
    <w:p w14:paraId="59A9A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bookmarkStart w:id="59" w:name="PO_part3A7IncAmount3"/>
      <w:r>
        <w:rPr>
          <w:rFonts w:hint="eastAsia" w:ascii="仿宋_GB2312" w:hAnsi="仿宋_GB2312" w:eastAsia="仿宋_GB2312" w:cs="仿宋_GB2312"/>
          <w:sz w:val="30"/>
          <w:szCs w:val="30"/>
        </w:rPr>
        <w:t>与上年持平，无增减变化。 </w:t>
      </w:r>
      <w:bookmarkEnd w:id="60"/>
      <w:r>
        <w:rPr>
          <w:rFonts w:hint="eastAsia" w:ascii="仿宋_GB2312" w:hAnsi="仿宋_GB2312" w:eastAsia="仿宋_GB2312" w:cs="仿宋_GB2312"/>
          <w:sz w:val="30"/>
          <w:szCs w:val="30"/>
        </w:rPr>
        <w:t/>
      </w:r>
    </w:p>
    <w:p w14:paraId="2F5B1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30"/>
          <w:szCs w:val="30"/>
        </w:rPr>
        <w:t>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bookmarkStart w:id="62" w:name="PO_part3A7IncAmount4"/>
      <w:r>
        <w:rPr>
          <w:rFonts w:hint="eastAsia" w:ascii="仿宋_GB2312" w:hAnsi="仿宋_GB2312" w:eastAsia="仿宋_GB2312" w:cs="仿宋_GB2312"/>
          <w:sz w:val="30"/>
          <w:szCs w:val="30"/>
        </w:rPr>
        <w:t>与上年持平，无增减变化。</w:t>
      </w:r>
    </w:p>
    <w:bookmarkEnd w:id="63"/>
    <w:p w14:paraId="5921A2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bookmarkStart w:id="64" w:name="PO_part3A7IncAmount5"/>
      <w:r>
        <w:rPr>
          <w:rFonts w:hint="eastAsia" w:ascii="仿宋_GB2312" w:hAnsi="仿宋_GB2312" w:eastAsia="仿宋_GB2312" w:cs="仿宋_GB2312"/>
          <w:sz w:val="30"/>
          <w:szCs w:val="30"/>
        </w:rPr>
        <w:t>与上年持平，无增减变化。 </w:t>
      </w:r>
      <w:bookmarkEnd w:id="65"/>
      <w:bookmarkStart w:id="66" w:name="PO_part3A7IncReason7"/>
    </w:p>
    <w:p w14:paraId="5C816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66"/>
    </w:p>
    <w:p w14:paraId="4A8C5306">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r>
        <w:rPr>
          <w:rFonts w:hint="eastAsia" w:ascii="黑体" w:hAnsi="黑体" w:eastAsia="黑体" w:cs="黑体"/>
          <w:sz w:val="32"/>
          <w:szCs w:val="32"/>
          <w:lang w:val="en-US" w:eastAsia="zh-CN"/>
        </w:rPr>
        <w:t/>
      </w:r>
    </w:p>
    <w:p w14:paraId="4F5649F9">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百色起义革命旧址管理处</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bookmarkEnd w:id="67"/>
    </w:p>
    <w:p w14:paraId="75AA0B2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14F11C4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r>
        <w:rPr>
          <w:rFonts w:hint="eastAsia" w:ascii="黑体" w:hAnsi="黑体" w:eastAsia="黑体" w:cs="黑体"/>
          <w:sz w:val="32"/>
          <w:szCs w:val="32"/>
          <w:lang w:val="en-US" w:eastAsia="zh-CN"/>
        </w:rPr>
        <w:t/>
      </w:r>
    </w:p>
    <w:p w14:paraId="24C92535">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百色起义革命旧址管理处</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bookmarkEnd w:id="68"/>
    </w:p>
    <w:p w14:paraId="1126279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4E6FE389">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bookmarkStart w:id="69" w:name="PO_part3A10Year1"/>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
      </w:r>
    </w:p>
    <w:p w14:paraId="10D5136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年，本</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rPr>
        <w:t>事业单位相关运行费用</w:t>
      </w:r>
      <w:r>
        <w:rPr>
          <w:rFonts w:hint="eastAsia" w:ascii="仿宋_GB2312" w:hAnsi="仿宋_GB2312" w:eastAsia="仿宋_GB2312" w:cs="仿宋_GB2312"/>
          <w:sz w:val="30"/>
          <w:szCs w:val="30"/>
        </w:rPr>
        <w:t>7.76</w:t>
      </w:r>
      <w:r>
        <w:rPr>
          <w:rFonts w:hint="eastAsia" w:ascii="仿宋_GB2312" w:hAnsi="仿宋_GB2312" w:eastAsia="仿宋_GB2312" w:cs="仿宋_GB2312"/>
          <w:sz w:val="30"/>
          <w:szCs w:val="30"/>
        </w:rPr>
        <w:t>万元，比上年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与上年持平，无增减</w:t>
      </w:r>
      <w:r>
        <w:rPr>
          <w:rFonts w:hint="eastAsia" w:ascii="仿宋_GB2312" w:hAnsi="仿宋_GB2312" w:eastAsia="仿宋_GB2312" w:cs="仿宋_GB2312"/>
          <w:sz w:val="30"/>
          <w:szCs w:val="30"/>
        </w:rPr>
        <w:t xml:space="preserve">。 </w:t>
      </w:r>
      <w:bookmarkEnd w:id="71"/>
    </w:p>
    <w:p w14:paraId="16FFF4BF">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72" w:name="PO_part3A10Year2"/>
      <w:r>
        <w:rPr>
          <w:rFonts w:hint="eastAsia" w:ascii="仿宋_GB2312" w:hAnsi="仿宋_GB2312" w:eastAsia="仿宋_GB2312" w:cs="仿宋_GB2312"/>
          <w:sz w:val="30"/>
          <w:szCs w:val="30"/>
          <w:lang w:val="en-US" w:eastAsia="zh-CN"/>
        </w:rPr>
        <w:t/>
      </w:r>
      <w:bookmarkEnd w:id="72"/>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年本</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rPr>
        <w:t>政府采购安排</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2.10</w:t>
      </w:r>
      <w:r>
        <w:rPr>
          <w:rFonts w:hint="eastAsia" w:ascii="仿宋_GB2312" w:hAnsi="仿宋_GB2312" w:eastAsia="仿宋_GB2312" w:cs="仿宋_GB2312"/>
          <w:sz w:val="30"/>
          <w:szCs w:val="30"/>
        </w:rPr>
        <w:t>万元，</w:t>
      </w:r>
      <w:bookmarkStart w:id="73" w:name="PO_part3A10IncAmount2"/>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0.90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75</w:t>
      </w:r>
      <w:r>
        <w:rPr>
          <w:rFonts w:hint="eastAsia" w:ascii="仿宋_GB2312" w:hAnsi="仿宋_GB2312" w:eastAsia="仿宋_GB2312" w:cs="仿宋_GB2312"/>
          <w:sz w:val="30"/>
          <w:szCs w:val="30"/>
        </w:rPr>
        <w:t>%。</w:t>
      </w:r>
      <w:bookmarkEnd w:id="73"/>
      <w:r>
        <w:rPr>
          <w:rFonts w:hint="eastAsia" w:ascii="仿宋_GB2312" w:hAnsi="仿宋_GB2312" w:eastAsia="仿宋_GB2312" w:cs="仿宋_GB2312"/>
          <w:sz w:val="30"/>
          <w:szCs w:val="30"/>
        </w:rPr>
        <w:t>其中：政府集中采购预算</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2.10</w:t>
      </w:r>
      <w:r>
        <w:rPr>
          <w:rFonts w:hint="eastAsia" w:ascii="仿宋_GB2312" w:hAnsi="仿宋_GB2312" w:eastAsia="仿宋_GB2312" w:cs="仿宋_GB2312"/>
          <w:sz w:val="30"/>
          <w:szCs w:val="30"/>
        </w:rPr>
        <w:t>万元，分散采购预算</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w:t>
      </w:r>
      <w:bookmarkStart w:id="74" w:name="PO_part3A10IncAmount4"/>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74"/>
    </w:p>
    <w:p w14:paraId="21A675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按政府采购项目类型分为货物类采购、工程类采购和服务类采购三种类型。其中：货物类采购预算</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2.00</w:t>
      </w:r>
      <w:r>
        <w:rPr>
          <w:rFonts w:hint="eastAsia" w:ascii="仿宋_GB2312" w:hAnsi="仿宋_GB2312" w:eastAsia="仿宋_GB2312" w:cs="仿宋_GB2312"/>
          <w:sz w:val="30"/>
          <w:szCs w:val="30"/>
        </w:rPr>
        <w:t>万元，工程类采购预算</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万元，服务类采购预算</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0.10</w:t>
      </w:r>
      <w:r>
        <w:rPr>
          <w:rFonts w:hint="eastAsia" w:ascii="仿宋_GB2312" w:hAnsi="仿宋_GB2312" w:eastAsia="仿宋_GB2312" w:cs="仿宋_GB2312"/>
          <w:sz w:val="30"/>
          <w:szCs w:val="30"/>
        </w:rPr>
        <w:t>万元等。</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
      </w:r>
    </w:p>
    <w:p w14:paraId="7AFC0AD3">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r>
        <w:rPr>
          <w:rFonts w:hint="eastAsia" w:ascii="黑体" w:hAnsi="黑体" w:eastAsia="黑体" w:cs="黑体"/>
          <w:sz w:val="32"/>
          <w:szCs w:val="32"/>
        </w:rPr>
        <w:t/>
      </w:r>
    </w:p>
    <w:p w14:paraId="1F1F5B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截至</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rPr>
        <w:t>年12月31日，我</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rPr>
        <w:t>实有在编车辆</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辆，其中：一般公务用车</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辆，执法执勤用车</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辆，其他业务用车</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rPr>
        <w:t/>
      </w:r>
      <w:r>
        <w:rPr>
          <w:rFonts w:hint="eastAsia" w:ascii="仿宋_GB2312" w:hAnsi="仿宋_GB2312" w:eastAsia="仿宋_GB2312" w:cs="仿宋_GB2312"/>
          <w:sz w:val="30"/>
          <w:szCs w:val="30"/>
        </w:rPr>
        <w:t>车辆具体占用情况如下：</w:t>
      </w:r>
      <w:r>
        <w:rPr>
          <w:rFonts w:hint="eastAsia" w:ascii="仿宋_GB2312" w:hAnsi="仿宋_GB2312" w:eastAsia="仿宋_GB2312" w:cs="仿宋_GB2312"/>
          <w:sz w:val="30"/>
          <w:szCs w:val="30"/>
        </w:rPr>
        <w:t/>
      </w:r>
    </w:p>
    <w:p w14:paraId="213C04D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百色起义革命旧址管理处</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辆，包括</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辆一般公务用车，</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辆执法执勤用车，</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rPr>
        <w:t>辆其他业务用车。</w:t>
      </w:r>
    </w:p>
    <w:p w14:paraId="1713FC54">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75" w:name="PO_part3A10IncReason2"/>
      <w:r>
        <w:rPr>
          <w:rFonts w:hint="eastAsia" w:ascii="仿宋_GB2312" w:hAnsi="仿宋_GB2312" w:eastAsia="仿宋_GB2312" w:cs="仿宋_GB2312"/>
          <w:sz w:val="32"/>
          <w:szCs w:val="32"/>
        </w:rPr>
        <w:t xml:space="preserve"> </w:t>
      </w:r>
      <w:bookmarkEnd w:id="75"/>
    </w:p>
    <w:p w14:paraId="5EAC696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年所有项目支出全面实施绩效目标管理，涉及市本级项目</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t>个，预算资金</w:t>
      </w:r>
      <w:r>
        <w:rPr>
          <w:rFonts w:hint="eastAsia" w:ascii="仿宋_GB2312" w:hAnsi="仿宋_GB2312" w:eastAsia="仿宋_GB2312" w:cs="仿宋_GB2312"/>
          <w:sz w:val="30"/>
          <w:szCs w:val="30"/>
        </w:rPr>
        <w:t>12.7</w:t>
      </w:r>
      <w:r>
        <w:rPr>
          <w:rFonts w:hint="eastAsia" w:ascii="仿宋_GB2312" w:hAnsi="仿宋_GB2312" w:eastAsia="仿宋_GB2312" w:cs="仿宋_GB2312"/>
          <w:sz w:val="30"/>
          <w:szCs w:val="30"/>
        </w:rPr>
        <w:t>万元。绩效目标情况详见报表10。</w:t>
      </w:r>
      <w:r>
        <w:rPr>
          <w:rFonts w:hint="eastAsia" w:ascii="仿宋_GB2312" w:hAnsi="仿宋_GB2312" w:eastAsia="仿宋_GB2312" w:cs="仿宋_GB2312"/>
          <w:sz w:val="30"/>
          <w:szCs w:val="30"/>
        </w:rPr>
        <w:t/>
      </w:r>
    </w:p>
    <w:p w14:paraId="296E92E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r>
        <w:rPr>
          <w:rFonts w:hint="eastAsia" w:ascii="仿宋_GB2312" w:hAnsi="仿宋_GB2312" w:eastAsia="仿宋_GB2312" w:cs="仿宋_GB2312"/>
          <w:sz w:val="30"/>
          <w:szCs w:val="30"/>
        </w:rPr>
        <w:t/>
      </w:r>
    </w:p>
    <w:p w14:paraId="09D7D56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w:t>
      </w: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rPr>
        <w:t>：项目名称</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，预算资金</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w:instrTex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2026</w:t>
      </w:r>
      <w:r>
        <w:rPr>
          <w:rFonts w:hint="eastAsia" w:ascii="仿宋_GB2312" w:hAnsi="仿宋_GB2312" w:eastAsia="仿宋_GB2312" w:cs="仿宋_GB2312"/>
          <w:sz w:val="30"/>
          <w:szCs w:val="30"/>
        </w:rPr>
        <w:t>年度绩效目标为</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rPr>
        <w:t>，绩效指标情况详见报表11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w:r>
    </w:p>
    <w:p w14:paraId="760F6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AB2F0B">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r>
        <w:rPr>
          <w:rFonts w:hint="eastAsia" w:ascii="仿宋_GB2312" w:eastAsia="仿宋_GB2312"/>
          <w:sz w:val="32"/>
          <w:szCs w:val="32"/>
        </w:rPr>
        <w:t/>
      </w:r>
      <w:r>
        <w:rPr>
          <w:rFonts w:hint="eastAsia" w:ascii="仿宋_GB2312" w:eastAsia="仿宋_GB2312"/>
          <w:sz w:val="32"/>
          <w:szCs w:val="32"/>
        </w:rPr>
        <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一</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二</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三</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四</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五</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六</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七</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八</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九</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十</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十一</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十二</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rPr>
        <w:t>十三</w:t>
      </w:r>
      <w:r>
        <w:rPr>
          <w:rFonts w:hint="eastAsia" w:ascii="仿宋_GB2312" w:eastAsia="仿宋_GB2312"/>
          <w:b/>
          <w:sz w:val="32"/>
          <w:szCs w:val="32"/>
          <w:lang w:val="en-US" w:eastAsia="zh-CN"/>
        </w:rPr>
        <w:t>、</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117703"/>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25F8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E01721"/>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link w:val="2"/>
    <w:autoRedefine/>
    <w:qFormat/>
    <w:uiPriority w:val="0"/>
    <w:rPr>
      <w:rFonts w:ascii="Calibri" w:hAnsi="Calibri" w:eastAsia="宋体" w:cs="Times New Roman"/>
      <w:kern w:val="2"/>
      <w:sz w:val="18"/>
      <w:szCs w:val="18"/>
    </w:rPr>
  </w:style>
  <w:style w:type="character" w:customStyle="1" w:styleId="9">
    <w:name w:val="页眉 字符"/>
    <w:link w:val="3"/>
    <w:autoRedefine/>
    <w:qFormat/>
    <w:uiPriority w:val="0"/>
    <w:rPr>
      <w:rFonts w:ascii="Calibri" w:hAnsi="Calibri" w:eastAsia="宋体" w:cs="Times New Roman"/>
      <w:kern w:val="2"/>
      <w:sz w:val="18"/>
      <w:szCs w:val="18"/>
    </w:rPr>
  </w:style>
  <w:style w:type="character" w:customStyle="1" w:styleId="10">
    <w:name w:val="_Style 8"/>
    <w:autoRedefine/>
    <w:qFormat/>
    <w:uiPriority w:val="31"/>
    <w:rPr>
      <w:smallCaps/>
      <w:color w:val="5A5A5A"/>
    </w:rPr>
  </w:style>
  <w:style w:type="paragraph" w:customStyle="1" w:styleId="11">
    <w:name w:val="Table Paragraph"/>
    <w:basedOn w:val="1"/>
    <w:autoRedefine/>
    <w:qFormat/>
    <w:uiPriority w:val="1"/>
    <w:rPr>
      <w:rFonts w:ascii="宋体" w:hAnsi="宋体" w:eastAsia="宋体" w:cs="宋体"/>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_rels/document.xml.rels><?xml version="1.0" encoding="UTF-8" standalone="yes"?><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783</Words>
  <Characters>2188</Characters>
  <Lines>82</Lines>
  <Paragraphs>23</Paragraphs>
  <TotalTime>40</TotalTime>
  <ScaleCrop>false</ScaleCrop>
  <LinksUpToDate>false</LinksUpToDate>
  <CharactersWithSpaces>2312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化十</cp:lastModifiedBy>
  <cp:lastPrinted>2018-02-09T07:39:00Z</cp:lastPrinted>
  <dcterms:modified xsi:type="dcterms:W3CDTF">2026-03-23T08:56:10Z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EF7E255193C14E85AD5D282B939CFD45_13</vt:lpwstr>
  </property>
  <property fmtid="{D5CDD505-2E9C-101B-9397-08002B2CF9AE}" pid="4" name="KSOTemplateDocerSaveRecord">
    <vt:lpwstr>eyJoZGlkIjoiMzU2NmI3MjI5ZGZjYTI3ZTc5NWJkNTU5NmI5MDIzZjgiLCJ1c2VySWQiOiI5ODMzMjAxOTAifQ==</vt:lpwstr>
  </property>
</Properties>
</file>