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宋体" w:hAnsi="宋体" w:cs="宋体"/>
          <w:b/>
          <w:bCs/>
          <w:color w:val="000000"/>
          <w:sz w:val="52"/>
          <w:szCs w:val="52"/>
        </w:rPr>
      </w:pPr>
      <w:bookmarkStart w:id="0" w:name="PO_title1"/>
      <w:r>
        <w:rPr>
          <w:rFonts w:hint="eastAsia" w:ascii="宋体" w:hAnsi="宋体" w:cs="宋体"/>
          <w:b/>
          <w:bCs/>
          <w:color w:val="000000"/>
          <w:sz w:val="52"/>
          <w:szCs w:val="52"/>
        </w:rPr>
        <w:t xml:space="preserve"> </w:t>
      </w:r>
      <w:r>
        <w:rPr>
          <w:rFonts w:hint="eastAsia" w:ascii="宋体" w:hAnsi="宋体" w:cs="宋体"/>
          <w:b/>
          <w:bCs/>
          <w:color w:val="000000"/>
          <w:sz w:val="52"/>
          <w:szCs w:val="52"/>
          <w:lang w:val="en-US" w:eastAsia="zh-CN"/>
        </w:rPr>
        <w:t>百色起义纪念碑园</w:t>
      </w:r>
      <w:r>
        <w:rPr>
          <w:rFonts w:hint="eastAsia" w:ascii="宋体" w:hAnsi="宋体" w:cs="宋体"/>
          <w:b/>
          <w:bCs/>
          <w:color w:val="000000"/>
          <w:sz w:val="11"/>
          <w:szCs w:val="11"/>
        </w:rPr>
        <w:t xml:space="preserve"> </w:t>
      </w:r>
      <w:bookmarkEnd w:id="0"/>
    </w:p>
    <w:p>
      <w:pPr>
        <w:jc w:val="center"/>
        <w:rPr>
          <w:rFonts w:hint="eastAsia"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52"/>
          <w:szCs w:val="52"/>
          <w:lang w:val="en-US" w:eastAsia="zh-CN"/>
        </w:rPr>
        <w:t>2024</w:t>
      </w:r>
      <w:r>
        <w:rPr>
          <w:rFonts w:hint="eastAsia" w:ascii="宋体" w:hAnsi="宋体" w:cs="宋体"/>
          <w:b/>
          <w:bCs/>
          <w:color w:val="000000"/>
          <w:sz w:val="52"/>
          <w:szCs w:val="52"/>
        </w:rPr>
        <w:t>年度部门预算</w:t>
      </w:r>
    </w:p>
    <w:p>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outlineLvl w:val="9"/>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hint="eastAsia" w:ascii="黑体" w:hAnsi="黑体" w:eastAsia="黑体" w:cs="黑体"/>
          <w:b/>
          <w:sz w:val="32"/>
          <w:szCs w:val="32"/>
          <w:lang w:val="en-US" w:eastAsia="zh-CN"/>
        </w:rPr>
        <w:t>百色起义纪念碑园</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0"/>
        </w:numPr>
        <w:ind w:firstLine="640" w:firstLineChars="200"/>
        <w:rPr>
          <w:rFonts w:ascii="黑体" w:hAnsi="黑体" w:eastAsia="黑体" w:cs="仿宋_GB2312"/>
          <w:sz w:val="32"/>
          <w:szCs w:val="32"/>
        </w:rPr>
      </w:pPr>
      <w:r>
        <w:rPr>
          <w:rFonts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主要职责</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二、</w:t>
      </w:r>
      <w:r>
        <w:rPr>
          <w:rFonts w:hint="eastAsia" w:ascii="黑体" w:hAnsi="黑体" w:eastAsia="黑体" w:cs="仿宋_GB2312"/>
          <w:sz w:val="32"/>
          <w:szCs w:val="32"/>
        </w:rPr>
        <w:t>部门机构设置</w:t>
      </w:r>
    </w:p>
    <w:p>
      <w:pPr>
        <w:numPr>
          <w:ilvl w:val="0"/>
          <w:numId w:val="0"/>
        </w:numPr>
        <w:ind w:firstLine="640" w:firstLineChars="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三、</w:t>
      </w:r>
      <w:r>
        <w:rPr>
          <w:rFonts w:hint="eastAsia" w:ascii="黑体" w:hAnsi="黑体" w:eastAsia="黑体" w:cs="仿宋_GB2312"/>
          <w:sz w:val="32"/>
          <w:szCs w:val="32"/>
        </w:rPr>
        <w:t>部门预算构成</w:t>
      </w:r>
    </w:p>
    <w:p>
      <w:pPr>
        <w:ind w:firstLine="643" w:firstLineChars="200"/>
        <w:outlineLvl w:val="9"/>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lang w:val="en-US" w:eastAsia="zh-CN"/>
        </w:rPr>
        <w:t>百色起义纪念碑园 2024</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一、部门收支总体情况表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二、部门收入总体情况表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三、部门支出总体情况表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五、一般公共预算支出情况表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六、一般公共预算基本支出情况表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七、一般公共预算“三公”经费预算表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 xml:space="preserve">九、国有资本经营预算支出情况表  </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lang w:val="en-US" w:eastAsia="zh-CN"/>
        </w:rPr>
        <w:t>百色起义纪念碑园 2024</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r>
        <w:rPr>
          <w:rFonts w:hint="eastAsia" w:ascii="黑体" w:hAnsi="黑体" w:eastAsia="黑体" w:cs="方正小标宋简体"/>
          <w:sz w:val="44"/>
          <w:szCs w:val="44"/>
          <w:lang w:val="en-US" w:eastAsia="zh-CN"/>
        </w:rPr>
        <w:t>百色起义纪念碑园</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5" w:name="PO_part1Responsibilities"/>
      <w:r>
        <w:rPr>
          <w:rFonts w:ascii="仿宋_GB2312" w:hAnsi="仿宋_GB2312" w:eastAsia="仿宋_GB2312" w:cs="仿宋_GB2312"/>
          <w:sz w:val="32"/>
          <w:szCs w:val="32"/>
        </w:rPr>
        <w:t xml:space="preserve"> </w:t>
      </w:r>
      <w:r>
        <w:rPr>
          <w:rFonts w:hint="eastAsia" w:ascii="仿宋_GB2312" w:eastAsia="仿宋_GB2312"/>
          <w:sz w:val="30"/>
          <w:szCs w:val="30"/>
        </w:rPr>
        <w:t xml:space="preserve"> 百色起义纪念碑园为百色起义纪念园管理中心主管的二级预算事业单位，主要职责是：纪念先烈，教育人民。负责百色起义纪念碑园和78名外省籍革命烈士公墓的日常管理；搞好烈士纪念设施维护、园林建设和环境美化；烈士遗物和革命史料的搜集、整理和陈列；纪念缅怀、红色研学活动的组织、接待、服务及相关工作。</w:t>
      </w:r>
      <w:r>
        <w:rPr>
          <w:rFonts w:hint="eastAsia" w:ascii="仿宋_GB2312" w:eastAsia="仿宋_GB2312"/>
          <w:sz w:val="30"/>
          <w:szCs w:val="30"/>
          <w:lang w:val="en-US" w:eastAsia="zh-CN"/>
        </w:rPr>
        <w:t xml:space="preserve"> </w:t>
      </w:r>
      <w:bookmarkEnd w:id="5"/>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二、部门机构设置</w:t>
      </w:r>
    </w:p>
    <w:p>
      <w:pPr>
        <w:outlineLvl w:val="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6" w:name="PO_part2Organization"/>
      <w:r>
        <w:rPr>
          <w:rFonts w:hint="eastAsia" w:ascii="仿宋_GB2312" w:hAnsi="仿宋_GB2312" w:eastAsia="仿宋_GB2312" w:cs="仿宋_GB2312"/>
          <w:sz w:val="32"/>
          <w:szCs w:val="32"/>
        </w:rPr>
        <w:t xml:space="preserve">  按照预算管理及业务的要求，百色起义纪念碑园作为独立法人单位，是百色起义纪念园管理中心下属二层机构，为正科级财政全额拨款的公益一类事业单位。单位无内设机构，以下2024年部门预算指标均为本单位汇总预算数据。</w:t>
      </w:r>
      <w:bookmarkEnd w:id="6"/>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三、部门预算构成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本部门无下属单位，部门预算为本单位预算。 </w:t>
      </w:r>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center"/>
        <w:outlineLvl w:val="0"/>
        <w:rPr>
          <w:rFonts w:hint="eastAsia"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第二部分  </w:t>
      </w:r>
      <w:bookmarkStart w:id="8" w:name="PO_part2Year1"/>
      <w:r>
        <w:rPr>
          <w:rFonts w:hint="eastAsia" w:ascii="黑体" w:hAnsi="黑体" w:eastAsia="黑体" w:cs="方正小标宋简体"/>
          <w:sz w:val="44"/>
          <w:szCs w:val="44"/>
          <w:lang w:val="en-US" w:eastAsia="zh-CN"/>
        </w:rPr>
        <w:t>百色起义纪念碑园 2024</w:t>
      </w:r>
      <w:r>
        <w:rPr>
          <w:rFonts w:ascii="方正小标宋简体" w:hAnsi="方正小标宋简体" w:eastAsia="方正小标宋简体" w:cs="方正小标宋简体"/>
          <w:sz w:val="11"/>
          <w:szCs w:val="11"/>
        </w:rPr>
        <w:t xml:space="preserve"> </w:t>
      </w:r>
      <w:bookmarkEnd w:id="8"/>
      <w:r>
        <w:rPr>
          <w:rFonts w:hint="eastAsia" w:ascii="黑体" w:hAnsi="黑体" w:eastAsia="黑体" w:cs="方正小标宋简体"/>
          <w:sz w:val="44"/>
          <w:szCs w:val="44"/>
        </w:rPr>
        <w:t>年部门预算表</w:t>
      </w:r>
    </w:p>
    <w:p>
      <w:pPr>
        <w:jc w:val="left"/>
        <w:rPr>
          <w:rFonts w:hint="eastAsia"/>
        </w:rPr>
      </w:pPr>
      <w:bookmarkStart w:id="9" w:name="PO_part2Table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0" w:name="PO_part2Table1DivName1"/>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1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一、一般公共预算拨款</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92.71</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92.71</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（三）一般债券收入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二、政府性基金预算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（三）专项债券收入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85.76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三、国有资本经营预算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四、财政专户管理资金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五、单位资金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（一）事业收入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（二）事业单位经营收入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（三）上级补助收入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（四）附属单位上缴收入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（五）其他收入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本 年 收 入 合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92.71</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上年结转结余</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收  入  总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92.71</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支  出  总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cs="宋体"/>
                <w:color w:val="000000"/>
                <w:sz w:val="18"/>
                <w:szCs w:val="18"/>
              </w:rPr>
            </w:pPr>
          </w:p>
        </w:tc>
        <w:tc>
          <w:tcPr>
            <w:tcW w:w="3543" w:type="dxa"/>
            <w:noWrap w:val="0"/>
            <w:vAlign w:val="center"/>
          </w:tcPr>
          <w:p>
            <w:pPr>
              <w:jc w:val="right"/>
              <w:rPr>
                <w:rFonts w:hint="eastAsia" w:ascii="宋体" w:hAnsi="宋体" w:cs="宋体"/>
                <w:color w:val="000000"/>
                <w:sz w:val="18"/>
                <w:szCs w:val="18"/>
              </w:rPr>
            </w:pPr>
          </w:p>
        </w:tc>
        <w:tc>
          <w:tcPr>
            <w:tcW w:w="3544" w:type="dxa"/>
            <w:noWrap w:val="0"/>
            <w:vAlign w:val="center"/>
          </w:tcPr>
          <w:p>
            <w:pPr>
              <w:widowControl/>
              <w:jc w:val="center"/>
              <w:textAlignment w:val="center"/>
              <w:rPr>
                <w:rFonts w:hint="eastAsia" w:ascii="宋体" w:hAnsi="宋体" w:cs="宋体"/>
                <w:color w:val="000000"/>
                <w:sz w:val="18"/>
                <w:szCs w:val="18"/>
              </w:rPr>
            </w:pPr>
          </w:p>
        </w:tc>
        <w:tc>
          <w:tcPr>
            <w:tcW w:w="3544" w:type="dxa"/>
            <w:noWrap w:val="0"/>
            <w:vAlign w:val="center"/>
          </w:tcPr>
          <w:p>
            <w:pPr>
              <w:jc w:val="right"/>
              <w:rPr>
                <w:rFonts w:hint="eastAsia" w:ascii="宋体" w:hAnsi="宋体" w:cs="宋体"/>
                <w:color w:val="000000"/>
                <w:sz w:val="18"/>
                <w:szCs w:val="18"/>
              </w:rPr>
            </w:pPr>
          </w:p>
        </w:tc>
      </w:tr>
      <w:bookmarkEnd w:id="9"/>
    </w:tbl>
    <w:p>
      <w:pP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报表金额单位转换时可能存在四舍五入尾数误差。  </w:t>
      </w:r>
      <w:bookmarkEnd w:id="11"/>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2" w:name="PO_part2Table2"/>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预算公开02</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noWrap w:val="0"/>
            <w:vAlign w:val="center"/>
          </w:tcPr>
          <w:p>
            <w:pPr>
              <w:jc w:val="left"/>
              <w:rPr>
                <w:rFonts w:hint="eastAsia" w:ascii="宋体" w:hAnsi="宋体"/>
                <w:color w:val="000000"/>
                <w:kern w:val="0"/>
                <w:sz w:val="18"/>
                <w:szCs w:val="18"/>
              </w:rPr>
            </w:pPr>
            <w:r>
              <w:rPr>
                <w:rFonts w:hint="eastAsia" w:ascii="宋体" w:hAnsi="宋体"/>
                <w:color w:val="000000"/>
                <w:kern w:val="0"/>
                <w:sz w:val="18"/>
                <w:szCs w:val="18"/>
              </w:rPr>
              <w:t>单位名称：</w:t>
            </w:r>
            <w:bookmarkStart w:id="13" w:name="PO_part2Table1DivName2"/>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13"/>
          </w:p>
        </w:tc>
        <w:tc>
          <w:tcPr>
            <w:tcW w:w="6306" w:type="dxa"/>
            <w:gridSpan w:val="7"/>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7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38" w:type="dxa"/>
            <w:vMerge w:val="continue"/>
            <w:noWrap w:val="0"/>
            <w:vAlign w:val="center"/>
          </w:tcPr>
          <w:p>
            <w:pPr>
              <w:jc w:val="center"/>
              <w:rPr>
                <w:rFonts w:hint="eastAsia" w:ascii="宋体" w:hAnsi="宋体"/>
                <w:color w:val="000000"/>
                <w:kern w:val="0"/>
                <w:sz w:val="18"/>
                <w:szCs w:val="18"/>
              </w:rPr>
            </w:pP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jc w:val="center"/>
              <w:rPr>
                <w:rFonts w:hint="eastAsia" w:ascii="宋体" w:hAnsi="宋体"/>
                <w:color w:val="000000"/>
                <w:kern w:val="0"/>
                <w:sz w:val="18"/>
                <w:szCs w:val="18"/>
              </w:rPr>
            </w:pPr>
          </w:p>
        </w:tc>
        <w:tc>
          <w:tcPr>
            <w:tcW w:w="1171" w:type="dxa"/>
            <w:vMerge w:val="continue"/>
            <w:noWrap w:val="0"/>
            <w:vAlign w:val="center"/>
          </w:tcPr>
          <w:p>
            <w:pPr>
              <w:jc w:val="center"/>
              <w:rPr>
                <w:rFonts w:hint="eastAsia" w:ascii="宋体" w:hAnsi="宋体"/>
                <w:color w:val="000000"/>
                <w:kern w:val="0"/>
                <w:sz w:val="18"/>
                <w:szCs w:val="18"/>
              </w:rPr>
            </w:pPr>
          </w:p>
        </w:tc>
        <w:tc>
          <w:tcPr>
            <w:tcW w:w="1138" w:type="dxa"/>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219</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百色起义纪念园管理中心</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219003</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百色起义纪念碑园</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jc w:val="left"/>
              <w:textAlignment w:val="center"/>
              <w:rPr>
                <w:rFonts w:ascii="宋体" w:hAnsi="宋体"/>
                <w:color w:val="000000"/>
                <w:kern w:val="0"/>
                <w:sz w:val="18"/>
                <w:szCs w:val="18"/>
              </w:rPr>
            </w:pPr>
          </w:p>
        </w:tc>
        <w:tc>
          <w:tcPr>
            <w:tcW w:w="1171" w:type="dxa"/>
            <w:noWrap w:val="0"/>
            <w:vAlign w:val="center"/>
          </w:tcPr>
          <w:p>
            <w:pPr>
              <w:widowControl/>
              <w:jc w:val="left"/>
              <w:textAlignment w:val="center"/>
              <w:rPr>
                <w:rFonts w:ascii="宋体" w:hAnsi="宋体"/>
                <w:color w:val="000000"/>
                <w:kern w:val="0"/>
                <w:sz w:val="18"/>
                <w:szCs w:val="18"/>
              </w:rPr>
            </w:pPr>
          </w:p>
        </w:tc>
        <w:tc>
          <w:tcPr>
            <w:tcW w:w="1138" w:type="dxa"/>
            <w:noWrap w:val="0"/>
            <w:vAlign w:val="center"/>
          </w:tcPr>
          <w:p>
            <w:pPr>
              <w:widowControl/>
              <w:jc w:val="right"/>
              <w:textAlignment w:val="center"/>
              <w:rPr>
                <w:rFonts w:ascii="宋体" w:hAnsi="宋体"/>
                <w:color w:val="000000"/>
                <w:kern w:val="0"/>
                <w:sz w:val="18"/>
                <w:szCs w:val="18"/>
              </w:rPr>
            </w:pPr>
          </w:p>
        </w:tc>
        <w:tc>
          <w:tcPr>
            <w:tcW w:w="969" w:type="dxa"/>
            <w:noWrap w:val="0"/>
            <w:vAlign w:val="center"/>
          </w:tcPr>
          <w:p>
            <w:pPr>
              <w:widowControl/>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1009" w:type="dxa"/>
            <w:noWrap w:val="0"/>
            <w:vAlign w:val="center"/>
          </w:tcPr>
          <w:p>
            <w:pPr>
              <w:widowControl/>
              <w:tabs>
                <w:tab w:val="left" w:pos="560"/>
              </w:tabs>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940" w:type="dxa"/>
            <w:noWrap w:val="0"/>
            <w:vAlign w:val="center"/>
          </w:tcPr>
          <w:p>
            <w:pPr>
              <w:widowControl/>
              <w:tabs>
                <w:tab w:val="left" w:pos="560"/>
              </w:tabs>
              <w:jc w:val="right"/>
              <w:textAlignment w:val="center"/>
              <w:rPr>
                <w:rFonts w:ascii="宋体" w:hAnsi="宋体"/>
                <w:color w:val="000000"/>
                <w:kern w:val="0"/>
                <w:sz w:val="18"/>
                <w:szCs w:val="18"/>
              </w:rPr>
            </w:pPr>
          </w:p>
        </w:tc>
        <w:tc>
          <w:tcPr>
            <w:tcW w:w="971" w:type="dxa"/>
            <w:gridSpan w:val="2"/>
            <w:noWrap w:val="0"/>
            <w:vAlign w:val="center"/>
          </w:tcPr>
          <w:p>
            <w:pPr>
              <w:widowControl/>
              <w:tabs>
                <w:tab w:val="left" w:pos="560"/>
              </w:tabs>
              <w:jc w:val="right"/>
              <w:textAlignment w:val="center"/>
              <w:rPr>
                <w:rFonts w:ascii="宋体" w:hAnsi="宋体"/>
                <w:color w:val="000000"/>
                <w:kern w:val="0"/>
                <w:sz w:val="18"/>
                <w:szCs w:val="18"/>
              </w:rPr>
            </w:pPr>
          </w:p>
        </w:tc>
        <w:tc>
          <w:tcPr>
            <w:tcW w:w="1008" w:type="dxa"/>
            <w:noWrap w:val="0"/>
            <w:vAlign w:val="center"/>
          </w:tcPr>
          <w:p>
            <w:pPr>
              <w:widowControl/>
              <w:tabs>
                <w:tab w:val="left" w:pos="560"/>
              </w:tabs>
              <w:jc w:val="right"/>
              <w:textAlignment w:val="center"/>
              <w:rPr>
                <w:rFonts w:ascii="宋体" w:hAnsi="宋体"/>
                <w:color w:val="000000"/>
                <w:kern w:val="0"/>
                <w:sz w:val="18"/>
                <w:szCs w:val="18"/>
              </w:rPr>
            </w:pPr>
          </w:p>
        </w:tc>
        <w:tc>
          <w:tcPr>
            <w:tcW w:w="969" w:type="dxa"/>
            <w:noWrap w:val="0"/>
            <w:vAlign w:val="center"/>
          </w:tcPr>
          <w:p>
            <w:pPr>
              <w:widowControl/>
              <w:tabs>
                <w:tab w:val="left" w:pos="560"/>
              </w:tabs>
              <w:jc w:val="right"/>
              <w:textAlignment w:val="center"/>
              <w:rPr>
                <w:rFonts w:ascii="宋体" w:hAnsi="宋体"/>
                <w:color w:val="000000"/>
                <w:kern w:val="0"/>
                <w:sz w:val="18"/>
                <w:szCs w:val="18"/>
              </w:rPr>
            </w:pPr>
          </w:p>
        </w:tc>
        <w:tc>
          <w:tcPr>
            <w:tcW w:w="967" w:type="dxa"/>
            <w:noWrap w:val="0"/>
            <w:vAlign w:val="center"/>
          </w:tcPr>
          <w:p>
            <w:pPr>
              <w:widowControl/>
              <w:tabs>
                <w:tab w:val="left" w:pos="560"/>
              </w:tabs>
              <w:jc w:val="right"/>
              <w:textAlignment w:val="center"/>
              <w:rPr>
                <w:rFonts w:ascii="宋体" w:hAnsi="宋体"/>
                <w:color w:val="000000"/>
                <w:kern w:val="0"/>
                <w:sz w:val="18"/>
                <w:szCs w:val="18"/>
              </w:rPr>
            </w:pPr>
          </w:p>
        </w:tc>
        <w:tc>
          <w:tcPr>
            <w:tcW w:w="1057" w:type="dxa"/>
            <w:noWrap w:val="0"/>
            <w:vAlign w:val="center"/>
          </w:tcPr>
          <w:p>
            <w:pPr>
              <w:widowControl/>
              <w:tabs>
                <w:tab w:val="left" w:pos="560"/>
              </w:tabs>
              <w:jc w:val="right"/>
              <w:textAlignment w:val="center"/>
              <w:rPr>
                <w:rFonts w:ascii="宋体" w:hAnsi="宋体"/>
                <w:color w:val="000000"/>
                <w:kern w:val="0"/>
                <w:sz w:val="18"/>
                <w:szCs w:val="18"/>
              </w:rPr>
            </w:pPr>
          </w:p>
        </w:tc>
        <w:tc>
          <w:tcPr>
            <w:tcW w:w="985" w:type="dxa"/>
            <w:noWrap w:val="0"/>
            <w:vAlign w:val="center"/>
          </w:tcPr>
          <w:p>
            <w:pPr>
              <w:widowControl/>
              <w:tabs>
                <w:tab w:val="left" w:pos="560"/>
              </w:tabs>
              <w:jc w:val="right"/>
              <w:textAlignment w:val="center"/>
              <w:rPr>
                <w:rFonts w:ascii="宋体" w:hAnsi="宋体"/>
                <w:color w:val="000000"/>
                <w:kern w:val="0"/>
                <w:sz w:val="18"/>
                <w:szCs w:val="18"/>
              </w:rPr>
            </w:pPr>
          </w:p>
        </w:tc>
        <w:tc>
          <w:tcPr>
            <w:tcW w:w="1023" w:type="dxa"/>
            <w:noWrap w:val="0"/>
            <w:vAlign w:val="center"/>
          </w:tcPr>
          <w:p>
            <w:pPr>
              <w:widowControl/>
              <w:tabs>
                <w:tab w:val="left" w:pos="560"/>
              </w:tabs>
              <w:jc w:val="right"/>
              <w:textAlignment w:val="center"/>
              <w:rPr>
                <w:rFonts w:ascii="宋体" w:hAnsi="宋体"/>
                <w:color w:val="000000"/>
                <w:kern w:val="0"/>
                <w:sz w:val="18"/>
                <w:szCs w:val="18"/>
              </w:rPr>
            </w:pPr>
          </w:p>
        </w:tc>
      </w:tr>
      <w:bookmarkEnd w:id="12"/>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4" w:name="PO_part2Table1Remark2"/>
      <w:r>
        <w:rPr>
          <w:rFonts w:hint="eastAsia" w:ascii="宋体" w:hAnsi="宋体" w:cs="宋体"/>
          <w:color w:val="000000"/>
          <w:kern w:val="0"/>
          <w:sz w:val="18"/>
          <w:szCs w:val="18"/>
          <w:lang w:bidi="ar"/>
        </w:rPr>
        <w:t xml:space="preserve"> 报表金额单位转换时可能存在四舍五入尾数误差。</w:t>
      </w:r>
      <w:bookmarkEnd w:id="1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5" w:name="PO_part2Table3"/>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
        <w:gridCol w:w="610"/>
        <w:gridCol w:w="4"/>
        <w:gridCol w:w="616"/>
        <w:gridCol w:w="2175"/>
        <w:gridCol w:w="2191"/>
        <w:gridCol w:w="1364"/>
        <w:gridCol w:w="940"/>
        <w:gridCol w:w="1255"/>
        <w:gridCol w:w="2032"/>
        <w:gridCol w:w="151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预算公开03</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574" w:type="dxa"/>
            <w:gridSpan w:val="8"/>
            <w:tcBorders>
              <w:top w:val="nil"/>
              <w:left w:val="nil"/>
              <w:bottom w:val="nil"/>
              <w:right w:val="nil"/>
            </w:tcBorders>
            <w:noWrap w:val="0"/>
            <w:vAlign w:val="center"/>
          </w:tcPr>
          <w:p>
            <w:pPr>
              <w:jc w:val="left"/>
              <w:rPr>
                <w:rFonts w:hint="eastAsia" w:ascii="宋体" w:hAnsi="宋体"/>
                <w:b/>
                <w:bCs/>
                <w:color w:val="000000"/>
                <w:kern w:val="0"/>
                <w:sz w:val="26"/>
                <w:szCs w:val="26"/>
              </w:rPr>
            </w:pPr>
            <w:r>
              <w:rPr>
                <w:rFonts w:hint="eastAsia" w:ascii="宋体" w:hAnsi="宋体"/>
                <w:color w:val="000000"/>
                <w:kern w:val="0"/>
                <w:sz w:val="18"/>
                <w:szCs w:val="18"/>
              </w:rPr>
              <w:t>单位名称：</w:t>
            </w:r>
            <w:bookmarkStart w:id="16" w:name="PO_part2Table1DivName3"/>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16"/>
          </w:p>
        </w:tc>
        <w:tc>
          <w:tcPr>
            <w:tcW w:w="7733" w:type="dxa"/>
            <w:gridSpan w:val="5"/>
            <w:tcBorders>
              <w:top w:val="nil"/>
              <w:left w:val="nil"/>
              <w:bottom w:val="nil"/>
              <w:right w:val="nil"/>
            </w:tcBorders>
            <w:noWrap w:val="0"/>
            <w:vAlign w:val="center"/>
          </w:tcPr>
          <w:p>
            <w:pPr>
              <w:jc w:val="right"/>
              <w:rPr>
                <w:rFonts w:hint="eastAsia" w:ascii="宋体" w:hAnsi="宋体"/>
                <w:b/>
                <w:bCs/>
                <w:color w:val="000000"/>
                <w:kern w:val="0"/>
                <w:sz w:val="26"/>
                <w:szCs w:val="26"/>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844" w:type="dxa"/>
            <w:gridSpan w:val="5"/>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1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191"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9097"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940"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基本支出</w:t>
            </w:r>
          </w:p>
        </w:tc>
        <w:tc>
          <w:tcPr>
            <w:tcW w:w="6793" w:type="dxa"/>
            <w:gridSpan w:val="4"/>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lang w:val="en-US" w:eastAsia="zh-CN"/>
              </w:rPr>
              <w:t>小计</w:t>
            </w:r>
          </w:p>
        </w:tc>
        <w:tc>
          <w:tcPr>
            <w:tcW w:w="5538" w:type="dxa"/>
            <w:gridSpan w:val="3"/>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continue"/>
            <w:noWrap w:val="0"/>
            <w:vAlign w:val="center"/>
          </w:tcPr>
          <w:p>
            <w:pPr>
              <w:widowControl/>
              <w:jc w:val="center"/>
              <w:textAlignment w:val="center"/>
              <w:rPr>
                <w:rFonts w:hint="eastAsia" w:ascii="宋体" w:hAnsi="宋体"/>
                <w:color w:val="000000"/>
                <w:sz w:val="18"/>
                <w:szCs w:val="18"/>
                <w:lang w:val="en-US" w:eastAsia="zh-CN"/>
              </w:rPr>
            </w:pPr>
          </w:p>
        </w:tc>
        <w:tc>
          <w:tcPr>
            <w:tcW w:w="2032"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事业单位经营支出</w:t>
            </w:r>
          </w:p>
        </w:tc>
        <w:tc>
          <w:tcPr>
            <w:tcW w:w="151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上缴上级支出</w:t>
            </w:r>
          </w:p>
        </w:tc>
        <w:tc>
          <w:tcPr>
            <w:tcW w:w="199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614" w:type="dxa"/>
            <w:gridSpan w:val="2"/>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175"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2191"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1364"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940"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255" w:type="dxa"/>
            <w:tcBorders>
              <w:top w:val="single" w:color="auto" w:sz="4" w:space="0"/>
            </w:tcBorders>
            <w:noWrap w:val="0"/>
            <w:vAlign w:val="center"/>
          </w:tcPr>
          <w:p>
            <w:pPr>
              <w:widowControl/>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2032"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513"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993" w:type="dxa"/>
            <w:tcBorders>
              <w:top w:val="single" w:color="auto" w:sz="4"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合计</w:t>
            </w:r>
          </w:p>
        </w:tc>
        <w:tc>
          <w:tcPr>
            <w:tcW w:w="1364" w:type="dxa"/>
            <w:noWrap w:val="0"/>
            <w:vAlign w:val="center"/>
          </w:tcPr>
          <w:p>
            <w:pPr>
              <w:jc w:val="right"/>
              <w:rPr>
                <w:sz w:val="18"/>
                <w:szCs w:val="18"/>
              </w:rPr>
            </w:pPr>
            <w:r>
              <w:rPr>
                <w:rFonts w:hint="eastAsia" w:ascii="宋体" w:hAnsi="宋体"/>
                <w:color w:val="000000"/>
                <w:sz w:val="18"/>
                <w:szCs w:val="18"/>
              </w:rPr>
              <w:t>92.71</w:t>
            </w:r>
          </w:p>
        </w:tc>
        <w:tc>
          <w:tcPr>
            <w:tcW w:w="940" w:type="dxa"/>
            <w:noWrap w:val="0"/>
            <w:vAlign w:val="center"/>
          </w:tcPr>
          <w:p>
            <w:pPr>
              <w:jc w:val="right"/>
              <w:rPr>
                <w:sz w:val="18"/>
                <w:szCs w:val="18"/>
              </w:rPr>
            </w:pPr>
            <w:r>
              <w:rPr>
                <w:rFonts w:hint="eastAsia" w:ascii="宋体" w:hAnsi="宋体"/>
                <w:color w:val="000000"/>
                <w:sz w:val="18"/>
                <w:szCs w:val="18"/>
              </w:rPr>
              <w:t>68.71</w:t>
            </w:r>
          </w:p>
        </w:tc>
        <w:tc>
          <w:tcPr>
            <w:tcW w:w="1255" w:type="dxa"/>
            <w:noWrap w:val="0"/>
            <w:vAlign w:val="center"/>
          </w:tcPr>
          <w:p>
            <w:pPr>
              <w:jc w:val="right"/>
              <w:rPr>
                <w:sz w:val="18"/>
                <w:szCs w:val="18"/>
              </w:rPr>
            </w:pPr>
            <w:r>
              <w:rPr>
                <w:rFonts w:hint="eastAsia" w:ascii="宋体" w:hAnsi="宋体"/>
                <w:color w:val="000000"/>
                <w:sz w:val="18"/>
                <w:szCs w:val="18"/>
              </w:rPr>
              <w:t>24.00</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219</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百色起义纪念园管理中心</w:t>
            </w:r>
          </w:p>
        </w:tc>
        <w:tc>
          <w:tcPr>
            <w:tcW w:w="1364" w:type="dxa"/>
            <w:noWrap w:val="0"/>
            <w:vAlign w:val="center"/>
          </w:tcPr>
          <w:p>
            <w:pPr>
              <w:jc w:val="right"/>
              <w:rPr>
                <w:sz w:val="18"/>
                <w:szCs w:val="18"/>
              </w:rPr>
            </w:pPr>
            <w:r>
              <w:rPr>
                <w:rFonts w:hint="eastAsia" w:ascii="宋体" w:hAnsi="宋体"/>
                <w:color w:val="000000"/>
                <w:sz w:val="18"/>
                <w:szCs w:val="18"/>
              </w:rPr>
              <w:t>92.71</w:t>
            </w:r>
          </w:p>
        </w:tc>
        <w:tc>
          <w:tcPr>
            <w:tcW w:w="940" w:type="dxa"/>
            <w:noWrap w:val="0"/>
            <w:vAlign w:val="center"/>
          </w:tcPr>
          <w:p>
            <w:pPr>
              <w:jc w:val="right"/>
              <w:rPr>
                <w:sz w:val="18"/>
                <w:szCs w:val="18"/>
              </w:rPr>
            </w:pPr>
            <w:r>
              <w:rPr>
                <w:rFonts w:hint="eastAsia" w:ascii="宋体" w:hAnsi="宋体"/>
                <w:color w:val="000000"/>
                <w:sz w:val="18"/>
                <w:szCs w:val="18"/>
              </w:rPr>
              <w:t>68.71</w:t>
            </w:r>
          </w:p>
        </w:tc>
        <w:tc>
          <w:tcPr>
            <w:tcW w:w="1255" w:type="dxa"/>
            <w:noWrap w:val="0"/>
            <w:vAlign w:val="center"/>
          </w:tcPr>
          <w:p>
            <w:pPr>
              <w:jc w:val="right"/>
              <w:rPr>
                <w:sz w:val="18"/>
                <w:szCs w:val="18"/>
              </w:rPr>
            </w:pPr>
            <w:r>
              <w:rPr>
                <w:rFonts w:hint="eastAsia" w:ascii="宋体" w:hAnsi="宋体"/>
                <w:color w:val="000000"/>
                <w:sz w:val="18"/>
                <w:szCs w:val="18"/>
              </w:rPr>
              <w:t>24.00</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219003</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百色起义纪念碑园</w:t>
            </w:r>
          </w:p>
        </w:tc>
        <w:tc>
          <w:tcPr>
            <w:tcW w:w="1364" w:type="dxa"/>
            <w:noWrap w:val="0"/>
            <w:vAlign w:val="center"/>
          </w:tcPr>
          <w:p>
            <w:pPr>
              <w:jc w:val="right"/>
              <w:rPr>
                <w:sz w:val="18"/>
                <w:szCs w:val="18"/>
              </w:rPr>
            </w:pPr>
            <w:r>
              <w:rPr>
                <w:rFonts w:hint="eastAsia" w:ascii="宋体" w:hAnsi="宋体"/>
                <w:color w:val="000000"/>
                <w:sz w:val="18"/>
                <w:szCs w:val="18"/>
              </w:rPr>
              <w:t>92.71</w:t>
            </w:r>
          </w:p>
        </w:tc>
        <w:tc>
          <w:tcPr>
            <w:tcW w:w="940" w:type="dxa"/>
            <w:noWrap w:val="0"/>
            <w:vAlign w:val="center"/>
          </w:tcPr>
          <w:p>
            <w:pPr>
              <w:jc w:val="right"/>
              <w:rPr>
                <w:sz w:val="18"/>
                <w:szCs w:val="18"/>
              </w:rPr>
            </w:pPr>
            <w:r>
              <w:rPr>
                <w:rFonts w:hint="eastAsia" w:ascii="宋体" w:hAnsi="宋体"/>
                <w:color w:val="000000"/>
                <w:sz w:val="18"/>
                <w:szCs w:val="18"/>
              </w:rPr>
              <w:t>68.71</w:t>
            </w:r>
          </w:p>
        </w:tc>
        <w:tc>
          <w:tcPr>
            <w:tcW w:w="1255" w:type="dxa"/>
            <w:noWrap w:val="0"/>
            <w:vAlign w:val="center"/>
          </w:tcPr>
          <w:p>
            <w:pPr>
              <w:jc w:val="right"/>
              <w:rPr>
                <w:sz w:val="18"/>
                <w:szCs w:val="18"/>
              </w:rPr>
            </w:pPr>
            <w:r>
              <w:rPr>
                <w:rFonts w:hint="eastAsia" w:ascii="宋体" w:hAnsi="宋体"/>
                <w:color w:val="000000"/>
                <w:sz w:val="18"/>
                <w:szCs w:val="18"/>
              </w:rPr>
              <w:t>24.00</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事业单位离退休</w:t>
            </w:r>
          </w:p>
        </w:tc>
        <w:tc>
          <w:tcPr>
            <w:tcW w:w="1364" w:type="dxa"/>
            <w:noWrap w:val="0"/>
            <w:vAlign w:val="center"/>
          </w:tcPr>
          <w:p>
            <w:pPr>
              <w:jc w:val="right"/>
              <w:rPr>
                <w:sz w:val="18"/>
                <w:szCs w:val="18"/>
              </w:rPr>
            </w:pPr>
            <w:r>
              <w:rPr>
                <w:rFonts w:hint="eastAsia" w:ascii="宋体" w:hAnsi="宋体"/>
                <w:color w:val="000000"/>
                <w:sz w:val="18"/>
                <w:szCs w:val="18"/>
              </w:rPr>
              <w:t>5.87</w:t>
            </w:r>
          </w:p>
        </w:tc>
        <w:tc>
          <w:tcPr>
            <w:tcW w:w="940" w:type="dxa"/>
            <w:noWrap w:val="0"/>
            <w:vAlign w:val="center"/>
          </w:tcPr>
          <w:p>
            <w:pPr>
              <w:jc w:val="right"/>
              <w:rPr>
                <w:sz w:val="18"/>
                <w:szCs w:val="18"/>
              </w:rPr>
            </w:pPr>
            <w:r>
              <w:rPr>
                <w:rFonts w:hint="eastAsia" w:ascii="宋体" w:hAnsi="宋体"/>
                <w:color w:val="000000"/>
                <w:sz w:val="18"/>
                <w:szCs w:val="18"/>
              </w:rPr>
              <w:t>5.87</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pPr>
              <w:jc w:val="right"/>
              <w:rPr>
                <w:sz w:val="18"/>
                <w:szCs w:val="18"/>
              </w:rPr>
            </w:pPr>
            <w:r>
              <w:rPr>
                <w:rFonts w:hint="eastAsia" w:ascii="宋体" w:hAnsi="宋体"/>
                <w:color w:val="000000"/>
                <w:sz w:val="18"/>
                <w:szCs w:val="18"/>
              </w:rPr>
              <w:t>8.48</w:t>
            </w:r>
          </w:p>
        </w:tc>
        <w:tc>
          <w:tcPr>
            <w:tcW w:w="940" w:type="dxa"/>
            <w:noWrap w:val="0"/>
            <w:vAlign w:val="center"/>
          </w:tcPr>
          <w:p>
            <w:pPr>
              <w:jc w:val="right"/>
              <w:rPr>
                <w:sz w:val="18"/>
                <w:szCs w:val="18"/>
              </w:rPr>
            </w:pPr>
            <w:r>
              <w:rPr>
                <w:rFonts w:hint="eastAsia" w:ascii="宋体" w:hAnsi="宋体"/>
                <w:color w:val="000000"/>
                <w:sz w:val="18"/>
                <w:szCs w:val="18"/>
              </w:rPr>
              <w:t>8.48</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pPr>
              <w:jc w:val="right"/>
              <w:rPr>
                <w:sz w:val="18"/>
                <w:szCs w:val="18"/>
              </w:rPr>
            </w:pPr>
            <w:r>
              <w:rPr>
                <w:rFonts w:hint="eastAsia" w:ascii="宋体" w:hAnsi="宋体"/>
                <w:color w:val="000000"/>
                <w:sz w:val="18"/>
                <w:szCs w:val="18"/>
              </w:rPr>
              <w:t>4.24</w:t>
            </w:r>
          </w:p>
        </w:tc>
        <w:tc>
          <w:tcPr>
            <w:tcW w:w="940" w:type="dxa"/>
            <w:noWrap w:val="0"/>
            <w:vAlign w:val="center"/>
          </w:tcPr>
          <w:p>
            <w:pPr>
              <w:jc w:val="right"/>
              <w:rPr>
                <w:sz w:val="18"/>
                <w:szCs w:val="18"/>
              </w:rPr>
            </w:pPr>
            <w:r>
              <w:rPr>
                <w:rFonts w:hint="eastAsia" w:ascii="宋体" w:hAnsi="宋体"/>
                <w:color w:val="000000"/>
                <w:sz w:val="18"/>
                <w:szCs w:val="18"/>
              </w:rPr>
              <w:t>4.24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其他优抚支出</w:t>
            </w:r>
          </w:p>
        </w:tc>
        <w:tc>
          <w:tcPr>
            <w:tcW w:w="1364" w:type="dxa"/>
            <w:noWrap w:val="0"/>
            <w:vAlign w:val="center"/>
          </w:tcPr>
          <w:p>
            <w:pPr>
              <w:jc w:val="right"/>
              <w:rPr>
                <w:sz w:val="18"/>
                <w:szCs w:val="18"/>
              </w:rPr>
            </w:pPr>
            <w:r>
              <w:rPr>
                <w:rFonts w:hint="eastAsia" w:ascii="宋体" w:hAnsi="宋体"/>
                <w:color w:val="000000"/>
                <w:sz w:val="18"/>
                <w:szCs w:val="18"/>
              </w:rPr>
              <w:t>67.17</w:t>
            </w:r>
          </w:p>
        </w:tc>
        <w:tc>
          <w:tcPr>
            <w:tcW w:w="940" w:type="dxa"/>
            <w:noWrap w:val="0"/>
            <w:vAlign w:val="center"/>
          </w:tcPr>
          <w:p>
            <w:pPr>
              <w:jc w:val="right"/>
              <w:rPr>
                <w:sz w:val="18"/>
                <w:szCs w:val="18"/>
              </w:rPr>
            </w:pPr>
            <w:r>
              <w:rPr>
                <w:rFonts w:hint="eastAsia" w:ascii="宋体" w:hAnsi="宋体"/>
                <w:color w:val="000000"/>
                <w:sz w:val="18"/>
                <w:szCs w:val="18"/>
              </w:rPr>
              <w:t>43.17</w:t>
            </w:r>
          </w:p>
        </w:tc>
        <w:tc>
          <w:tcPr>
            <w:tcW w:w="1255" w:type="dxa"/>
            <w:noWrap w:val="0"/>
            <w:vAlign w:val="center"/>
          </w:tcPr>
          <w:p>
            <w:pPr>
              <w:jc w:val="right"/>
              <w:rPr>
                <w:sz w:val="18"/>
                <w:szCs w:val="18"/>
              </w:rPr>
            </w:pPr>
            <w:r>
              <w:rPr>
                <w:rFonts w:hint="eastAsia" w:ascii="宋体" w:hAnsi="宋体"/>
                <w:color w:val="000000"/>
                <w:sz w:val="18"/>
                <w:szCs w:val="18"/>
              </w:rPr>
              <w:t>24.00</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事业单位医疗</w:t>
            </w:r>
          </w:p>
        </w:tc>
        <w:tc>
          <w:tcPr>
            <w:tcW w:w="1364" w:type="dxa"/>
            <w:noWrap w:val="0"/>
            <w:vAlign w:val="center"/>
          </w:tcPr>
          <w:p>
            <w:pPr>
              <w:jc w:val="right"/>
              <w:rPr>
                <w:sz w:val="18"/>
                <w:szCs w:val="18"/>
              </w:rPr>
            </w:pPr>
            <w:r>
              <w:rPr>
                <w:rFonts w:hint="eastAsia" w:ascii="宋体" w:hAnsi="宋体"/>
                <w:color w:val="000000"/>
                <w:sz w:val="18"/>
                <w:szCs w:val="18"/>
              </w:rPr>
              <w:t>1.97</w:t>
            </w:r>
          </w:p>
        </w:tc>
        <w:tc>
          <w:tcPr>
            <w:tcW w:w="940" w:type="dxa"/>
            <w:noWrap w:val="0"/>
            <w:vAlign w:val="center"/>
          </w:tcPr>
          <w:p>
            <w:pPr>
              <w:jc w:val="right"/>
              <w:rPr>
                <w:sz w:val="18"/>
                <w:szCs w:val="18"/>
              </w:rPr>
            </w:pPr>
            <w:r>
              <w:rPr>
                <w:rFonts w:hint="eastAsia" w:ascii="宋体" w:hAnsi="宋体"/>
                <w:color w:val="000000"/>
                <w:sz w:val="18"/>
                <w:szCs w:val="18"/>
              </w:rPr>
              <w:t>1.97</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pPr>
              <w:jc w:val="right"/>
              <w:rPr>
                <w:sz w:val="18"/>
                <w:szCs w:val="18"/>
              </w:rPr>
            </w:pPr>
            <w:r>
              <w:rPr>
                <w:rFonts w:hint="eastAsia" w:ascii="宋体" w:hAnsi="宋体"/>
                <w:color w:val="000000"/>
                <w:sz w:val="18"/>
                <w:szCs w:val="18"/>
              </w:rPr>
              <w:t>4.98</w:t>
            </w:r>
          </w:p>
        </w:tc>
        <w:tc>
          <w:tcPr>
            <w:tcW w:w="940" w:type="dxa"/>
            <w:noWrap w:val="0"/>
            <w:vAlign w:val="center"/>
          </w:tcPr>
          <w:p>
            <w:pPr>
              <w:jc w:val="right"/>
              <w:rPr>
                <w:sz w:val="18"/>
                <w:szCs w:val="18"/>
              </w:rPr>
            </w:pPr>
            <w:r>
              <w:rPr>
                <w:rFonts w:hint="eastAsia" w:ascii="宋体" w:hAnsi="宋体"/>
                <w:color w:val="000000"/>
                <w:sz w:val="18"/>
                <w:szCs w:val="18"/>
              </w:rPr>
              <w:t>4.98</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bookmarkEnd w:id="15"/>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报表金额单位转换时可能存在四舍五入尾数误差。</w:t>
      </w:r>
      <w:bookmarkEnd w:id="17"/>
      <w:r>
        <w:rPr>
          <w:rFonts w:hint="eastAsia" w:ascii="宋体" w:hAnsi="宋体" w:cs="宋体"/>
          <w:color w:val="000000"/>
          <w:kern w:val="0"/>
          <w:sz w:val="18"/>
          <w:szCs w:val="18"/>
          <w:lang w:bidi="ar"/>
        </w:rPr>
        <w:t xml:space="preserve">  </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8" w:name="PO_part2Table4"/>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预算公开04</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9" w:name="PO_part2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19"/>
          </w:p>
        </w:tc>
        <w:tc>
          <w:tcPr>
            <w:tcW w:w="382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一、本年收入</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3、一般债券收入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3、专项债券收入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（九）卫生健康支出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（十）节能环保支出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（十一）城乡社区支出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二、上年结转结余</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（十二）农林水支出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（十三）交通运输支出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（十四）资源勘探工业信息等支出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（十五）商业服务业等支出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（十六）金融支出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（十七）援助其他地区支出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（十八）自然资源海洋气象等支出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（十九）住房保障支出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（二十）粮油物资储备支出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（二十一）国有资本经营预算支出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（二十二）灾害防治及应急管理支出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（二十三）其他支出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（二十四）债务还本支出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（二十五）债务付息支出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（二十六）债务发行费用支出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二、结转下年支出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收   入   总   计</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支　　　出　　　总　　　计</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noWrap w:val="0"/>
            <w:vAlign w:val="center"/>
          </w:tcPr>
          <w:p>
            <w:pPr>
              <w:widowControl/>
              <w:jc w:val="center"/>
              <w:textAlignment w:val="center"/>
              <w:rPr>
                <w:rFonts w:ascii="宋体" w:hAnsi="宋体"/>
                <w:color w:val="000000"/>
                <w:sz w:val="18"/>
                <w:szCs w:val="18"/>
              </w:rPr>
            </w:pPr>
          </w:p>
        </w:tc>
        <w:tc>
          <w:tcPr>
            <w:tcW w:w="3826" w:type="dxa"/>
            <w:noWrap w:val="0"/>
            <w:vAlign w:val="center"/>
          </w:tcPr>
          <w:p>
            <w:pPr>
              <w:jc w:val="right"/>
              <w:rPr>
                <w:rFonts w:ascii="宋体" w:hAnsi="宋体"/>
                <w:color w:val="000000"/>
                <w:sz w:val="18"/>
                <w:szCs w:val="18"/>
              </w:rPr>
            </w:pPr>
          </w:p>
        </w:tc>
        <w:tc>
          <w:tcPr>
            <w:tcW w:w="3827" w:type="dxa"/>
            <w:noWrap w:val="0"/>
            <w:vAlign w:val="center"/>
          </w:tcPr>
          <w:p>
            <w:pPr>
              <w:widowControl/>
              <w:jc w:val="center"/>
              <w:textAlignment w:val="center"/>
              <w:rPr>
                <w:rFonts w:ascii="宋体" w:hAnsi="宋体"/>
                <w:color w:val="000000"/>
                <w:sz w:val="18"/>
                <w:szCs w:val="18"/>
              </w:rPr>
            </w:pPr>
          </w:p>
        </w:tc>
        <w:tc>
          <w:tcPr>
            <w:tcW w:w="3827" w:type="dxa"/>
            <w:noWrap w:val="0"/>
            <w:vAlign w:val="center"/>
          </w:tcPr>
          <w:p>
            <w:pPr>
              <w:jc w:val="right"/>
              <w:rPr>
                <w:rFonts w:ascii="宋体" w:hAnsi="宋体"/>
                <w:color w:val="000000"/>
                <w:sz w:val="18"/>
                <w:szCs w:val="18"/>
              </w:rPr>
            </w:pPr>
          </w:p>
        </w:tc>
      </w:tr>
      <w:bookmarkEnd w:id="18"/>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0" w:name="PO_part2Table1Remark4"/>
      <w:r>
        <w:rPr>
          <w:rFonts w:hint="eastAsia" w:ascii="宋体" w:hAnsi="宋体" w:cs="宋体"/>
          <w:color w:val="000000"/>
          <w:kern w:val="0"/>
          <w:sz w:val="18"/>
          <w:szCs w:val="18"/>
          <w:lang w:bidi="ar"/>
        </w:rPr>
        <w:t xml:space="preserve"> 表中功能分类科目，根据各部门实际预算编制情况编列。</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报表金额单位转换时可能存在四舍五入尾数误差。 </w:t>
      </w:r>
      <w:bookmarkEnd w:id="20"/>
    </w:p>
    <w:p>
      <w:pPr>
        <w:rPr>
          <w:rFonts w:hint="eastAsia"/>
        </w:rPr>
      </w:pPr>
      <w:bookmarkStart w:id="21" w:name="PO_part2Table5"/>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95"/>
        <w:gridCol w:w="480"/>
        <w:gridCol w:w="919"/>
        <w:gridCol w:w="2717"/>
        <w:gridCol w:w="1704"/>
        <w:gridCol w:w="2080"/>
        <w:gridCol w:w="2126"/>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预算公开05</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959" w:type="dxa"/>
            <w:gridSpan w:val="6"/>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2" w:name="PO_part2Table1DivName5"/>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22"/>
            <w:r>
              <w:rPr>
                <w:rFonts w:ascii="宋体" w:hAnsi="宋体"/>
                <w:color w:val="000000"/>
                <w:kern w:val="0"/>
                <w:sz w:val="18"/>
                <w:szCs w:val="18"/>
              </w:rPr>
              <w:t xml:space="preserve">                      </w:t>
            </w:r>
          </w:p>
        </w:tc>
        <w:tc>
          <w:tcPr>
            <w:tcW w:w="7608" w:type="dxa"/>
            <w:gridSpan w:val="4"/>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科目编码</w:t>
            </w:r>
          </w:p>
        </w:tc>
        <w:tc>
          <w:tcPr>
            <w:tcW w:w="919"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7608" w:type="dxa"/>
            <w:gridSpan w:val="4"/>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widowControl/>
              <w:jc w:val="center"/>
              <w:textAlignment w:val="center"/>
              <w:rPr>
                <w:rFonts w:hint="eastAsia" w:ascii="宋体" w:hAnsi="宋体"/>
                <w:color w:val="000000"/>
                <w:sz w:val="18"/>
                <w:szCs w:val="18"/>
              </w:rPr>
            </w:pPr>
          </w:p>
        </w:tc>
        <w:tc>
          <w:tcPr>
            <w:tcW w:w="919" w:type="dxa"/>
            <w:vMerge w:val="continue"/>
            <w:noWrap w:val="0"/>
            <w:vAlign w:val="center"/>
          </w:tcPr>
          <w:p>
            <w:pPr>
              <w:widowControl/>
              <w:jc w:val="center"/>
              <w:textAlignment w:val="center"/>
              <w:rPr>
                <w:rFonts w:hint="eastAsia" w:ascii="宋体" w:hAnsi="宋体"/>
                <w:color w:val="000000"/>
                <w:sz w:val="18"/>
                <w:szCs w:val="18"/>
              </w:rPr>
            </w:pPr>
          </w:p>
        </w:tc>
        <w:tc>
          <w:tcPr>
            <w:tcW w:w="2717" w:type="dxa"/>
            <w:vMerge w:val="continue"/>
            <w:noWrap w:val="0"/>
            <w:vAlign w:val="center"/>
          </w:tcPr>
          <w:p>
            <w:pPr>
              <w:widowControl/>
              <w:jc w:val="center"/>
              <w:textAlignment w:val="center"/>
              <w:rPr>
                <w:rFonts w:hint="eastAsia" w:ascii="宋体" w:hAnsi="宋体"/>
                <w:color w:val="000000"/>
                <w:sz w:val="18"/>
                <w:szCs w:val="18"/>
              </w:rPr>
            </w:pPr>
          </w:p>
        </w:tc>
        <w:tc>
          <w:tcPr>
            <w:tcW w:w="1704" w:type="dxa"/>
            <w:vMerge w:val="continue"/>
            <w:tcBorders>
              <w:bottom w:val="single" w:color="auto" w:sz="4" w:space="0"/>
            </w:tcBorders>
            <w:noWrap w:val="0"/>
            <w:vAlign w:val="center"/>
          </w:tcPr>
          <w:p>
            <w:pPr>
              <w:widowControl/>
              <w:jc w:val="center"/>
              <w:textAlignment w:val="center"/>
              <w:rPr>
                <w:rFonts w:hint="eastAsia" w:ascii="宋体" w:hAnsi="宋体"/>
                <w:color w:val="000000"/>
                <w:sz w:val="18"/>
                <w:szCs w:val="18"/>
              </w:rPr>
            </w:pPr>
          </w:p>
        </w:tc>
        <w:tc>
          <w:tcPr>
            <w:tcW w:w="6049" w:type="dxa"/>
            <w:gridSpan w:val="3"/>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基本支出</w:t>
            </w:r>
          </w:p>
        </w:tc>
        <w:tc>
          <w:tcPr>
            <w:tcW w:w="1559" w:type="dxa"/>
            <w:vMerge w:val="restart"/>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jc w:val="right"/>
              <w:rPr>
                <w:rFonts w:hint="eastAsia" w:ascii="宋体" w:hAnsi="宋体"/>
                <w:color w:val="000000"/>
                <w:kern w:val="0"/>
                <w:sz w:val="18"/>
                <w:szCs w:val="18"/>
              </w:rPr>
            </w:pPr>
          </w:p>
        </w:tc>
        <w:tc>
          <w:tcPr>
            <w:tcW w:w="919" w:type="dxa"/>
            <w:vMerge w:val="continue"/>
            <w:noWrap w:val="0"/>
            <w:vAlign w:val="center"/>
          </w:tcPr>
          <w:p>
            <w:pPr>
              <w:jc w:val="right"/>
              <w:rPr>
                <w:rFonts w:hint="eastAsia" w:ascii="宋体" w:hAnsi="宋体"/>
                <w:color w:val="000000"/>
                <w:kern w:val="0"/>
                <w:sz w:val="18"/>
                <w:szCs w:val="18"/>
              </w:rPr>
            </w:pPr>
          </w:p>
        </w:tc>
        <w:tc>
          <w:tcPr>
            <w:tcW w:w="2717" w:type="dxa"/>
            <w:vMerge w:val="continue"/>
            <w:noWrap w:val="0"/>
            <w:vAlign w:val="center"/>
          </w:tcPr>
          <w:p>
            <w:pPr>
              <w:jc w:val="right"/>
              <w:rPr>
                <w:rFonts w:hint="eastAsia" w:ascii="宋体" w:hAnsi="宋体"/>
                <w:color w:val="000000"/>
                <w:kern w:val="0"/>
                <w:sz w:val="18"/>
                <w:szCs w:val="18"/>
              </w:rPr>
            </w:pPr>
          </w:p>
        </w:tc>
        <w:tc>
          <w:tcPr>
            <w:tcW w:w="1704"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c>
          <w:tcPr>
            <w:tcW w:w="2080"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2126"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1843"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c>
          <w:tcPr>
            <w:tcW w:w="1559"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44"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9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8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91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271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1704"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2080"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2126"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8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59"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92.71</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68.71</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64.23</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4.48</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219</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百色起义纪念园管理中心</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92.71</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68.71</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64.23</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4.48</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219003</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百色起义纪念碑园</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92.71</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68.71</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64.23</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4.48</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事业单位离退休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5.87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5.87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5.79</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0.08</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8.48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8.48</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8.48</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4.24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4.24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4.24</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其他优抚支出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67.17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43.17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38.77</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4.40</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事业单位医疗</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1.97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1.97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1.97</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4.98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4.98</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4.98</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rPr>
                <w:rFonts w:hint="eastAsia" w:ascii="宋体" w:hAnsi="宋体"/>
                <w:color w:val="000000"/>
                <w:kern w:val="0"/>
                <w:sz w:val="18"/>
                <w:szCs w:val="18"/>
              </w:rPr>
            </w:pPr>
          </w:p>
        </w:tc>
        <w:tc>
          <w:tcPr>
            <w:tcW w:w="495" w:type="dxa"/>
            <w:noWrap w:val="0"/>
            <w:vAlign w:val="center"/>
          </w:tcPr>
          <w:p>
            <w:pPr>
              <w:rPr>
                <w:rFonts w:hint="eastAsia" w:ascii="宋体" w:hAnsi="宋体"/>
                <w:color w:val="000000"/>
                <w:kern w:val="0"/>
                <w:sz w:val="18"/>
                <w:szCs w:val="18"/>
              </w:rPr>
            </w:pPr>
          </w:p>
        </w:tc>
        <w:tc>
          <w:tcPr>
            <w:tcW w:w="480" w:type="dxa"/>
            <w:noWrap w:val="0"/>
            <w:vAlign w:val="center"/>
          </w:tcPr>
          <w:p>
            <w:pPr>
              <w:rPr>
                <w:rFonts w:hint="eastAsia" w:ascii="宋体" w:hAnsi="宋体"/>
                <w:color w:val="000000"/>
                <w:kern w:val="0"/>
                <w:sz w:val="18"/>
                <w:szCs w:val="18"/>
              </w:rPr>
            </w:pPr>
          </w:p>
        </w:tc>
        <w:tc>
          <w:tcPr>
            <w:tcW w:w="919" w:type="dxa"/>
            <w:noWrap w:val="0"/>
            <w:vAlign w:val="center"/>
          </w:tcPr>
          <w:p>
            <w:pPr>
              <w:rPr>
                <w:rFonts w:hint="eastAsia" w:ascii="宋体" w:hAnsi="宋体"/>
                <w:color w:val="000000"/>
                <w:kern w:val="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p>
        </w:tc>
        <w:tc>
          <w:tcPr>
            <w:tcW w:w="1704" w:type="dxa"/>
            <w:noWrap w:val="0"/>
            <w:vAlign w:val="center"/>
          </w:tcPr>
          <w:p>
            <w:pPr>
              <w:widowControl/>
              <w:jc w:val="right"/>
              <w:textAlignment w:val="center"/>
              <w:rPr>
                <w:rFonts w:hint="eastAsia" w:ascii="宋体" w:hAnsi="宋体"/>
                <w:color w:val="000000"/>
                <w:kern w:val="0"/>
                <w:sz w:val="18"/>
                <w:szCs w:val="18"/>
              </w:rPr>
            </w:pPr>
          </w:p>
        </w:tc>
        <w:tc>
          <w:tcPr>
            <w:tcW w:w="2080" w:type="dxa"/>
            <w:noWrap w:val="0"/>
            <w:vAlign w:val="center"/>
          </w:tcPr>
          <w:p>
            <w:pPr>
              <w:widowControl/>
              <w:jc w:val="right"/>
              <w:textAlignment w:val="center"/>
              <w:rPr>
                <w:rFonts w:hint="eastAsia" w:ascii="宋体" w:hAnsi="宋体"/>
                <w:color w:val="000000"/>
                <w:sz w:val="18"/>
                <w:szCs w:val="18"/>
              </w:rPr>
            </w:pPr>
          </w:p>
        </w:tc>
        <w:tc>
          <w:tcPr>
            <w:tcW w:w="2126" w:type="dxa"/>
            <w:noWrap w:val="0"/>
            <w:vAlign w:val="center"/>
          </w:tcPr>
          <w:p>
            <w:pPr>
              <w:widowControl/>
              <w:jc w:val="right"/>
              <w:textAlignment w:val="center"/>
              <w:rPr>
                <w:rFonts w:hint="eastAsia" w:ascii="宋体" w:hAnsi="宋体"/>
                <w:color w:val="000000"/>
                <w:sz w:val="18"/>
                <w:szCs w:val="18"/>
              </w:rPr>
            </w:pPr>
          </w:p>
        </w:tc>
        <w:tc>
          <w:tcPr>
            <w:tcW w:w="1843" w:type="dxa"/>
            <w:noWrap w:val="0"/>
            <w:vAlign w:val="center"/>
          </w:tcPr>
          <w:p>
            <w:pPr>
              <w:widowControl/>
              <w:jc w:val="right"/>
              <w:textAlignment w:val="center"/>
              <w:rPr>
                <w:rFonts w:hint="eastAsia" w:ascii="宋体" w:hAnsi="宋体"/>
                <w:color w:val="000000"/>
                <w:sz w:val="18"/>
                <w:szCs w:val="18"/>
              </w:rPr>
            </w:pPr>
          </w:p>
        </w:tc>
        <w:tc>
          <w:tcPr>
            <w:tcW w:w="1559" w:type="dxa"/>
            <w:noWrap w:val="0"/>
            <w:vAlign w:val="center"/>
          </w:tcPr>
          <w:p>
            <w:pPr>
              <w:jc w:val="right"/>
              <w:rPr>
                <w:rFonts w:hint="eastAsia" w:ascii="宋体" w:hAnsi="宋体"/>
                <w:color w:val="000000"/>
                <w:kern w:val="0"/>
                <w:sz w:val="18"/>
                <w:szCs w:val="18"/>
              </w:rPr>
            </w:pPr>
          </w:p>
        </w:tc>
      </w:tr>
      <w:bookmarkEnd w:id="21"/>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3" w:name="PO_part2Table6"/>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预算公开06</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5"/>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4" w:name="PO_part2Table1DivName6"/>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24"/>
          </w:p>
        </w:tc>
        <w:tc>
          <w:tcPr>
            <w:tcW w:w="5104" w:type="dxa"/>
            <w:gridSpan w:val="2"/>
            <w:tcBorders>
              <w:top w:val="nil"/>
              <w:left w:val="nil"/>
              <w:bottom w:val="single" w:color="000000" w:sz="8"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类</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款</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68.71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64.23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58.45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58.45</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14.32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14.32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绩效工资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22.23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22.23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8.48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8.48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职业年金缴费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4.24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4.24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1.91</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0.32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0.32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4.98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4.98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4.48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0.81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0.55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0.65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0.40</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差旅费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0.09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0.30</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1.68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对个人和家庭的补助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5.79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5.79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退休费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5.79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5.79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1531"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3061"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bookmarkEnd w:id="2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5" w:name="PO_part2Table7"/>
    </w:p>
    <w:tbl>
      <w:tblPr>
        <w:tblStyle w:val="11"/>
        <w:tblW w:w="1503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5"/>
        <w:gridCol w:w="1725"/>
        <w:gridCol w:w="1095"/>
        <w:gridCol w:w="1080"/>
        <w:gridCol w:w="855"/>
        <w:gridCol w:w="765"/>
        <w:gridCol w:w="1260"/>
        <w:gridCol w:w="1005"/>
        <w:gridCol w:w="795"/>
        <w:gridCol w:w="675"/>
        <w:gridCol w:w="750"/>
        <w:gridCol w:w="8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70" w:type="dxa"/>
            <w:gridSpan w:val="2"/>
            <w:tcBorders>
              <w:top w:val="nil"/>
              <w:left w:val="nil"/>
              <w:bottom w:val="nil"/>
              <w:right w:val="nil"/>
            </w:tcBorders>
            <w:noWrap w:val="0"/>
            <w:vAlign w:val="center"/>
          </w:tcPr>
          <w:p>
            <w:pPr>
              <w:jc w:val="right"/>
              <w:rPr>
                <w:rFonts w:hint="eastAsia" w:ascii="宋体" w:hAnsi="宋体"/>
                <w:color w:val="000000"/>
                <w:kern w:val="0"/>
                <w:sz w:val="18"/>
                <w:szCs w:val="18"/>
              </w:rPr>
            </w:pPr>
          </w:p>
        </w:tc>
        <w:tc>
          <w:tcPr>
            <w:tcW w:w="11760"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预算公开07</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030" w:type="dxa"/>
            <w:gridSpan w:val="14"/>
            <w:tcBorders>
              <w:top w:val="nil"/>
              <w:left w:val="nil"/>
              <w:bottom w:val="nil"/>
              <w:right w:val="nil"/>
            </w:tcBorders>
            <w:noWrap w:val="0"/>
            <w:vAlign w:val="center"/>
          </w:tcPr>
          <w:p>
            <w:pPr>
              <w:ind w:firstLine="522" w:firstLineChars="200"/>
              <w:jc w:val="center"/>
              <w:rPr>
                <w:rFonts w:hint="eastAsia" w:ascii="宋体" w:hAnsi="宋体"/>
                <w:b/>
                <w:bCs/>
                <w:color w:val="000000"/>
                <w:kern w:val="0"/>
                <w:sz w:val="26"/>
                <w:szCs w:val="26"/>
              </w:rPr>
            </w:pPr>
            <w:r>
              <w:rPr>
                <w:rFonts w:hint="eastAsia" w:ascii="宋体" w:hAnsi="宋体"/>
                <w:b/>
                <w:bCs/>
                <w:color w:val="000000"/>
                <w:kern w:val="0"/>
                <w:sz w:val="26"/>
                <w:szCs w:val="26"/>
              </w:rPr>
              <w:t>财政拨款“三公”经费、会议费和培训费支出情况表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95"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1DivName7"/>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26"/>
          </w:p>
        </w:tc>
        <w:tc>
          <w:tcPr>
            <w:tcW w:w="10035" w:type="dxa"/>
            <w:gridSpan w:val="11"/>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26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tc>
        <w:tc>
          <w:tcPr>
            <w:tcW w:w="1725" w:type="dxa"/>
            <w:vMerge w:val="restart"/>
            <w:tcBorders>
              <w:top w:val="single" w:color="auto" w:sz="4" w:space="0"/>
            </w:tcBorders>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资金性质</w:t>
            </w:r>
          </w:p>
        </w:tc>
        <w:tc>
          <w:tcPr>
            <w:tcW w:w="109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总计</w:t>
            </w:r>
          </w:p>
        </w:tc>
        <w:tc>
          <w:tcPr>
            <w:tcW w:w="5760" w:type="dxa"/>
            <w:gridSpan w:val="6"/>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“三公”经费</w:t>
            </w:r>
          </w:p>
        </w:tc>
        <w:tc>
          <w:tcPr>
            <w:tcW w:w="67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会议费</w:t>
            </w:r>
          </w:p>
        </w:tc>
        <w:tc>
          <w:tcPr>
            <w:tcW w:w="2505"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85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因公出国（境）费</w:t>
            </w:r>
          </w:p>
        </w:tc>
        <w:tc>
          <w:tcPr>
            <w:tcW w:w="3030"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公务用车购置及运行维护费</w:t>
            </w:r>
          </w:p>
        </w:tc>
        <w:tc>
          <w:tcPr>
            <w:tcW w:w="795" w:type="dxa"/>
            <w:vMerge w:val="restart"/>
            <w:tcBorders>
              <w:top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公务接待费</w:t>
            </w: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885"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本级资金安排</w:t>
            </w:r>
          </w:p>
        </w:tc>
        <w:tc>
          <w:tcPr>
            <w:tcW w:w="87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continue"/>
            <w:noWrap w:val="0"/>
            <w:vAlign w:val="center"/>
          </w:tcPr>
          <w:p>
            <w:pPr>
              <w:jc w:val="center"/>
              <w:rPr>
                <w:rFonts w:hint="eastAsia" w:ascii="宋体" w:hAnsi="宋体"/>
                <w:color w:val="000000"/>
                <w:sz w:val="18"/>
                <w:szCs w:val="18"/>
              </w:rPr>
            </w:pPr>
          </w:p>
        </w:tc>
        <w:tc>
          <w:tcPr>
            <w:tcW w:w="855" w:type="dxa"/>
            <w:vMerge w:val="continue"/>
            <w:noWrap w:val="0"/>
            <w:vAlign w:val="center"/>
          </w:tcPr>
          <w:p>
            <w:pPr>
              <w:jc w:val="center"/>
              <w:rPr>
                <w:rFonts w:hint="eastAsia" w:ascii="宋体" w:hAnsi="宋体"/>
                <w:color w:val="000000"/>
                <w:sz w:val="18"/>
                <w:szCs w:val="18"/>
              </w:rPr>
            </w:pPr>
          </w:p>
        </w:tc>
        <w:tc>
          <w:tcPr>
            <w:tcW w:w="76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小计</w:t>
            </w:r>
          </w:p>
        </w:tc>
        <w:tc>
          <w:tcPr>
            <w:tcW w:w="1260"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公务用车运行维护费</w:t>
            </w:r>
          </w:p>
        </w:tc>
        <w:tc>
          <w:tcPr>
            <w:tcW w:w="100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公务用车购置费</w:t>
            </w:r>
          </w:p>
        </w:tc>
        <w:tc>
          <w:tcPr>
            <w:tcW w:w="795" w:type="dxa"/>
            <w:vMerge w:val="continue"/>
            <w:noWrap w:val="0"/>
            <w:vAlign w:val="center"/>
          </w:tcPr>
          <w:p>
            <w:pPr>
              <w:jc w:val="center"/>
              <w:rPr>
                <w:rFonts w:hint="eastAsia" w:ascii="宋体" w:hAnsi="宋体"/>
                <w:color w:val="000000"/>
                <w:sz w:val="18"/>
                <w:szCs w:val="18"/>
              </w:rPr>
            </w:pP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continue"/>
            <w:noWrap w:val="0"/>
            <w:vAlign w:val="center"/>
          </w:tcPr>
          <w:p>
            <w:pPr>
              <w:jc w:val="center"/>
              <w:textAlignment w:val="center"/>
              <w:rPr>
                <w:rFonts w:hint="eastAsia" w:ascii="宋体" w:hAnsi="宋体"/>
                <w:color w:val="000000"/>
                <w:sz w:val="18"/>
                <w:szCs w:val="18"/>
              </w:rPr>
            </w:pPr>
          </w:p>
        </w:tc>
        <w:tc>
          <w:tcPr>
            <w:tcW w:w="885" w:type="dxa"/>
            <w:vMerge w:val="continue"/>
            <w:noWrap w:val="0"/>
            <w:vAlign w:val="center"/>
          </w:tcPr>
          <w:p>
            <w:pPr>
              <w:jc w:val="center"/>
              <w:textAlignment w:val="center"/>
              <w:rPr>
                <w:rFonts w:hint="eastAsia" w:ascii="宋体" w:hAnsi="宋体"/>
                <w:color w:val="000000"/>
                <w:sz w:val="18"/>
                <w:szCs w:val="18"/>
              </w:rPr>
            </w:pPr>
          </w:p>
        </w:tc>
        <w:tc>
          <w:tcPr>
            <w:tcW w:w="870" w:type="dxa"/>
            <w:vMerge w:val="continue"/>
            <w:noWrap w:val="0"/>
            <w:vAlign w:val="center"/>
          </w:tcPr>
          <w:p>
            <w:pPr>
              <w:jc w:val="center"/>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noWrap w:val="0"/>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080"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5"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6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1260"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p>
        </w:tc>
        <w:tc>
          <w:tcPr>
            <w:tcW w:w="100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c>
          <w:tcPr>
            <w:tcW w:w="79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67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750"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9</w:t>
            </w:r>
          </w:p>
        </w:tc>
        <w:tc>
          <w:tcPr>
            <w:tcW w:w="885" w:type="dxa"/>
            <w:noWrap w:val="0"/>
            <w:vAlign w:val="center"/>
          </w:tcPr>
          <w:p>
            <w:pPr>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70" w:type="dxa"/>
            <w:noWrap w:val="0"/>
            <w:vAlign w:val="center"/>
          </w:tcPr>
          <w:p>
            <w:pPr>
              <w:jc w:val="center"/>
              <w:textAlignment w:val="center"/>
              <w:rPr>
                <w:rFonts w:hint="eastAsia" w:ascii="宋体" w:hAnsi="宋体" w:eastAsia="宋体"/>
                <w:color w:val="000000"/>
                <w:sz w:val="18"/>
                <w:szCs w:val="18"/>
                <w:lang w:val="en-US" w:eastAsia="zh-CN"/>
              </w:rPr>
            </w:pPr>
            <w:r>
              <w:rPr>
                <w:rFonts w:ascii="宋体" w:hAnsi="宋体"/>
                <w:color w:val="000000"/>
                <w:sz w:val="18"/>
                <w:szCs w:val="18"/>
              </w:rPr>
              <w:t>1</w:t>
            </w:r>
            <w:r>
              <w:rPr>
                <w:rFonts w:hint="eastAsia" w:ascii="宋体" w:hAnsi="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top"/>
          </w:tcPr>
          <w:p>
            <w:pPr>
              <w:widowControl/>
              <w:jc w:val="left"/>
              <w:textAlignment w:val="center"/>
              <w:rPr>
                <w:rFonts w:hint="eastAsia" w:ascii="宋体" w:hAnsi="宋体"/>
                <w:color w:val="000000"/>
                <w:sz w:val="18"/>
                <w:szCs w:val="18"/>
              </w:rPr>
            </w:pPr>
          </w:p>
        </w:tc>
        <w:tc>
          <w:tcPr>
            <w:tcW w:w="1725" w:type="dxa"/>
            <w:noWrap w:val="0"/>
            <w:vAlign w:val="center"/>
          </w:tcPr>
          <w:p>
            <w:pPr>
              <w:widowControl/>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p>
        </w:tc>
        <w:tc>
          <w:tcPr>
            <w:tcW w:w="1080" w:type="dxa"/>
            <w:noWrap w:val="0"/>
            <w:vAlign w:val="center"/>
          </w:tcPr>
          <w:p>
            <w:pPr>
              <w:widowControl/>
              <w:jc w:val="right"/>
              <w:textAlignment w:val="center"/>
              <w:rPr>
                <w:rFonts w:hint="eastAsia" w:ascii="宋体" w:hAnsi="宋体"/>
                <w:color w:val="000000"/>
                <w:sz w:val="18"/>
                <w:szCs w:val="18"/>
              </w:rPr>
            </w:pP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widowControl/>
              <w:jc w:val="right"/>
              <w:textAlignment w:val="center"/>
              <w:rPr>
                <w:rFonts w:hint="eastAsia" w:ascii="宋体" w:hAnsi="宋体"/>
                <w:color w:val="000000"/>
                <w:sz w:val="18"/>
                <w:szCs w:val="18"/>
              </w:rPr>
            </w:pPr>
          </w:p>
        </w:tc>
        <w:tc>
          <w:tcPr>
            <w:tcW w:w="675" w:type="dxa"/>
            <w:noWrap w:val="0"/>
            <w:vAlign w:val="center"/>
          </w:tcPr>
          <w:p>
            <w:pPr>
              <w:widowControl/>
              <w:jc w:val="right"/>
              <w:textAlignment w:val="center"/>
              <w:rPr>
                <w:rFonts w:hint="eastAsia" w:ascii="宋体" w:hAnsi="宋体"/>
                <w:color w:val="000000"/>
                <w:sz w:val="18"/>
                <w:szCs w:val="18"/>
              </w:rPr>
            </w:pPr>
          </w:p>
        </w:tc>
        <w:tc>
          <w:tcPr>
            <w:tcW w:w="750" w:type="dxa"/>
            <w:noWrap w:val="0"/>
            <w:vAlign w:val="center"/>
          </w:tcPr>
          <w:p>
            <w:pPr>
              <w:widowControl/>
              <w:jc w:val="right"/>
              <w:textAlignment w:val="center"/>
              <w:rPr>
                <w:rFonts w:hint="eastAsia" w:ascii="宋体" w:hAnsi="宋体"/>
                <w:color w:val="000000"/>
                <w:sz w:val="18"/>
                <w:szCs w:val="18"/>
              </w:rPr>
            </w:pPr>
          </w:p>
        </w:tc>
        <w:tc>
          <w:tcPr>
            <w:tcW w:w="885" w:type="dxa"/>
            <w:noWrap w:val="0"/>
            <w:vAlign w:val="center"/>
          </w:tcPr>
          <w:p>
            <w:pPr>
              <w:widowControl/>
              <w:jc w:val="right"/>
              <w:textAlignment w:val="center"/>
              <w:rPr>
                <w:rFonts w:hint="eastAsia" w:ascii="宋体" w:hAnsi="宋体"/>
                <w:color w:val="000000"/>
                <w:sz w:val="18"/>
                <w:szCs w:val="18"/>
              </w:rPr>
            </w:pPr>
          </w:p>
        </w:tc>
        <w:tc>
          <w:tcPr>
            <w:tcW w:w="870" w:type="dxa"/>
            <w:noWrap w:val="0"/>
            <w:vAlign w:val="center"/>
          </w:tcPr>
          <w:p>
            <w:pPr>
              <w:widowControl/>
              <w:jc w:val="right"/>
              <w:textAlignment w:val="center"/>
              <w:rPr>
                <w:rFonts w:hint="eastAsia" w:ascii="宋体" w:hAnsi="宋体"/>
                <w:color w:val="000000"/>
                <w:sz w:val="18"/>
                <w:szCs w:val="18"/>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27" w:name="PO_part2Table1Remark7"/>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olor w:val="000000"/>
          <w:kern w:val="0"/>
          <w:sz w:val="18"/>
          <w:szCs w:val="18"/>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年度没有一般公共预算“三公”经费</w:t>
      </w:r>
      <w:r>
        <w:rPr>
          <w:rFonts w:hint="eastAsia" w:ascii="宋体" w:hAnsi="宋体"/>
          <w:color w:val="000000"/>
          <w:kern w:val="0"/>
          <w:sz w:val="18"/>
          <w:szCs w:val="18"/>
          <w:lang w:val="en-US" w:eastAsia="zh-CN"/>
        </w:rPr>
        <w:t>预算支出</w:t>
      </w:r>
      <w:r>
        <w:rPr>
          <w:rFonts w:hint="eastAsia" w:ascii="宋体" w:hAnsi="宋体"/>
          <w:color w:val="000000"/>
          <w:kern w:val="0"/>
          <w:sz w:val="18"/>
          <w:szCs w:val="18"/>
        </w:rPr>
        <w:t>，故本表无数据。</w:t>
      </w:r>
      <w:bookmarkEnd w:id="25"/>
      <w:bookmarkEnd w:id="27"/>
      <w:r>
        <w:rPr>
          <w:rFonts w:hint="eastAsia" w:ascii="宋体" w:hAnsi="宋体"/>
          <w:color w:val="000000"/>
          <w:kern w:val="0"/>
          <w:sz w:val="18"/>
          <w:szCs w:val="18"/>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8" w:name="PO_part2Table8"/>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预算公开08</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1DivName8"/>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bookmarkEnd w:id="29"/>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30" w:name="PO_part2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本报表金额单位转换时可能存在四舍五入尾数误差。</w:t>
      </w:r>
    </w:p>
    <w:p>
      <w:pPr>
        <w:rPr>
          <w:rFonts w:hint="eastAsia"/>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年度没有政府性基金预算支出，故本表无数据。</w:t>
      </w:r>
      <w:r>
        <w:rPr>
          <w:rFonts w:hint="eastAsia" w:ascii="宋体" w:hAnsi="宋体" w:cs="宋体"/>
          <w:color w:val="000000"/>
          <w:kern w:val="0"/>
          <w:sz w:val="18"/>
          <w:szCs w:val="18"/>
          <w:lang w:bidi="ar"/>
        </w:rPr>
        <w:t xml:space="preserve"> </w:t>
      </w:r>
      <w:bookmarkEnd w:id="28"/>
      <w:bookmarkEnd w:id="30"/>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br w:type="page"/>
      </w:r>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预算公开09</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 xml:space="preserve">单位名称：  </w:t>
            </w:r>
            <w:r>
              <w:rPr>
                <w:rFonts w:hint="eastAsia" w:ascii="宋体" w:hAnsi="宋体"/>
                <w:color w:val="000000"/>
                <w:kern w:val="0"/>
                <w:sz w:val="18"/>
                <w:szCs w:val="18"/>
                <w:lang w:val="en-US" w:eastAsia="zh-CN"/>
              </w:rPr>
              <w:t>百色起义纪念碑园</w:t>
            </w:r>
            <w:r>
              <w:rPr>
                <w:rFonts w:hint="eastAsia" w:ascii="宋体" w:hAnsi="宋体"/>
                <w:color w:val="000000"/>
                <w:kern w:val="0"/>
                <w:sz w:val="18"/>
                <w:szCs w:val="18"/>
              </w:rPr>
              <w:t xml:space="preserve">  </w:t>
            </w:r>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 xml:space="preserve">注： </w:t>
      </w:r>
      <w:r>
        <w:rPr>
          <w:rFonts w:hint="eastAsia" w:ascii="宋体" w:hAnsi="宋体"/>
          <w:color w:val="000000"/>
          <w:kern w:val="0"/>
          <w:sz w:val="18"/>
          <w:szCs w:val="18"/>
        </w:rPr>
        <w:t>本报表金额单位转换时可能存在四舍五入尾数误差。</w:t>
      </w:r>
    </w:p>
    <w:p>
      <w:pPr>
        <w:rPr>
          <w:rFonts w:ascii="宋体" w:hAnsi="宋体" w:cs="宋体"/>
          <w:color w:val="000000"/>
          <w:kern w:val="0"/>
          <w:sz w:val="18"/>
          <w:szCs w:val="18"/>
          <w:lang w:bidi="ar"/>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年度没有国有资本经营预算支出，故本表无数据。</w:t>
      </w:r>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p>
    <w:p>
      <w:pPr>
        <w:tabs>
          <w:tab w:val="center" w:pos="6979"/>
        </w:tabs>
        <w:ind w:firstLine="440" w:firstLineChars="100"/>
        <w:jc w:val="center"/>
        <w:outlineLvl w:val="0"/>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1" w:name="PO_part3Year1"/>
      <w:r>
        <w:rPr>
          <w:rFonts w:hint="eastAsia" w:ascii="黑体" w:hAnsi="黑体" w:eastAsia="黑体" w:cs="方正小标宋简体"/>
          <w:sz w:val="44"/>
          <w:szCs w:val="44"/>
          <w:lang w:val="en-US" w:eastAsia="zh-CN"/>
        </w:rPr>
        <w:t>百色起义纪念碑园 2024</w:t>
      </w:r>
      <w:r>
        <w:rPr>
          <w:rFonts w:ascii="方正小标宋简体" w:hAnsi="方正小标宋简体" w:eastAsia="方正小标宋简体" w:cs="方正小标宋简体"/>
          <w:sz w:val="11"/>
          <w:szCs w:val="11"/>
        </w:rPr>
        <w:t xml:space="preserve"> </w:t>
      </w:r>
      <w:bookmarkEnd w:id="31"/>
      <w:r>
        <w:rPr>
          <w:rFonts w:hint="eastAsia" w:ascii="黑体" w:hAnsi="黑体" w:eastAsia="黑体" w:cs="方正小标宋简体"/>
          <w:sz w:val="44"/>
          <w:szCs w:val="44"/>
        </w:rPr>
        <w:t>年部门预算情况说明</w:t>
      </w:r>
    </w:p>
    <w:p>
      <w:pPr>
        <w:numPr>
          <w:ilvl w:val="0"/>
          <w:numId w:val="0"/>
        </w:numPr>
        <w:ind w:firstLine="640" w:firstLineChars="20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部门预算收支总体情况说明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32" w:name="PO_part3A1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32"/>
      <w:r>
        <w:rPr>
          <w:rFonts w:hint="eastAsia" w:ascii="仿宋_GB2312" w:hAnsi="仿宋_GB2312" w:eastAsia="仿宋_GB2312" w:cs="仿宋_GB2312"/>
          <w:sz w:val="30"/>
          <w:szCs w:val="30"/>
        </w:rPr>
        <w:t>年本部门</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收入92.71万元，</w:t>
      </w:r>
      <w:bookmarkStart w:id="33" w:name="PO_part3A1IncAmount1"/>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25.25万元，下降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21.41%，</w:t>
      </w:r>
      <w:r>
        <w:rPr>
          <w:rFonts w:hint="eastAsia" w:ascii="仿宋_GB2312" w:hAnsi="仿宋_GB2312" w:eastAsia="仿宋_GB2312" w:cs="仿宋_GB2312"/>
          <w:sz w:val="11"/>
          <w:szCs w:val="11"/>
        </w:rPr>
        <w:t xml:space="preserve"> </w:t>
      </w:r>
      <w:bookmarkEnd w:id="33"/>
      <w:r>
        <w:rPr>
          <w:rFonts w:hint="eastAsia" w:ascii="仿宋_GB2312" w:hAnsi="仿宋_GB2312" w:eastAsia="仿宋_GB2312" w:cs="仿宋_GB2312"/>
          <w:sz w:val="30"/>
          <w:szCs w:val="30"/>
        </w:rPr>
        <w:t>主要原因是：</w:t>
      </w:r>
      <w:bookmarkStart w:id="34" w:name="PO_part3A1IncReason1"/>
      <w:r>
        <w:rPr>
          <w:rFonts w:hint="eastAsia" w:ascii="仿宋_GB2312" w:hAnsi="仿宋_GB2312" w:eastAsia="仿宋_GB2312" w:cs="仿宋_GB2312"/>
          <w:sz w:val="30"/>
          <w:szCs w:val="30"/>
        </w:rPr>
        <w:t>经费压减；</w:t>
      </w:r>
      <w:r>
        <w:rPr>
          <w:rFonts w:hint="eastAsia"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lang w:val="en-US" w:eastAsia="zh-CN"/>
        </w:rPr>
        <w:t>总支</w:t>
      </w:r>
      <w:r>
        <w:rPr>
          <w:rFonts w:hint="eastAsia" w:ascii="仿宋_GB2312" w:hAnsi="仿宋_GB2312" w:eastAsia="仿宋_GB2312" w:cs="仿宋_GB2312"/>
          <w:sz w:val="30"/>
          <w:szCs w:val="30"/>
        </w:rPr>
        <w:t>出</w:t>
      </w:r>
      <w:bookmarkStart w:id="35" w:name="PO_part3A1Amount2"/>
      <w:r>
        <w:rPr>
          <w:rFonts w:hint="eastAsia" w:ascii="仿宋_GB2312" w:hAnsi="仿宋_GB2312" w:eastAsia="仿宋_GB2312" w:cs="仿宋_GB2312"/>
          <w:sz w:val="30"/>
          <w:szCs w:val="30"/>
        </w:rPr>
        <w:t>92.71</w:t>
      </w:r>
      <w:r>
        <w:rPr>
          <w:rFonts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万元，</w:t>
      </w:r>
      <w:bookmarkStart w:id="36" w:name="PO_part3A1IncAmount2"/>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25.25</w:t>
      </w:r>
      <w:r>
        <w:rPr>
          <w:rFonts w:ascii="仿宋_GB2312" w:hAnsi="仿宋_GB2312" w:eastAsia="仿宋_GB2312" w:cs="仿宋_GB2312"/>
          <w:sz w:val="11"/>
          <w:szCs w:val="11"/>
        </w:rPr>
        <w:t xml:space="preserve"> </w:t>
      </w:r>
      <w:r>
        <w:rPr>
          <w:rFonts w:hint="eastAsia" w:ascii="仿宋_GB2312" w:hAnsi="仿宋_GB2312" w:eastAsia="仿宋_GB2312" w:cs="仿宋_GB2312"/>
          <w:sz w:val="30"/>
          <w:szCs w:val="30"/>
        </w:rPr>
        <w:t>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21.41%，</w:t>
      </w:r>
      <w:r>
        <w:rPr>
          <w:rFonts w:hint="eastAsia"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主要原因是：</w:t>
      </w:r>
      <w:bookmarkStart w:id="37" w:name="PO_part3A1IncReason2"/>
      <w:r>
        <w:rPr>
          <w:rFonts w:hint="eastAsia" w:ascii="仿宋_GB2312" w:hAnsi="仿宋_GB2312" w:eastAsia="仿宋_GB2312" w:cs="仿宋_GB2312"/>
          <w:sz w:val="30"/>
          <w:szCs w:val="30"/>
        </w:rPr>
        <w:t>经费压减。</w:t>
      </w:r>
      <w:r>
        <w:rPr>
          <w:rFonts w:hint="eastAsia" w:ascii="仿宋_GB2312" w:hAnsi="仿宋_GB2312" w:eastAsia="仿宋_GB2312" w:cs="仿宋_GB2312"/>
          <w:sz w:val="11"/>
          <w:szCs w:val="11"/>
        </w:rPr>
        <w:t xml:space="preserve"> </w:t>
      </w:r>
      <w:bookmarkEnd w:id="37"/>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部门收入总体情况说明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年收入总预算</w:t>
      </w:r>
      <w:bookmarkStart w:id="38" w:name="PO_part3A2Amount1"/>
      <w:r>
        <w:rPr>
          <w:rFonts w:hint="eastAsia" w:ascii="仿宋_GB2312" w:hAnsi="仿宋_GB2312" w:eastAsia="仿宋_GB2312" w:cs="仿宋_GB2312"/>
          <w:sz w:val="30"/>
          <w:szCs w:val="30"/>
        </w:rPr>
        <w:t>92.71</w:t>
      </w:r>
      <w:r>
        <w:rPr>
          <w:rFonts w:hint="eastAsia"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万元，</w:t>
      </w:r>
      <w:bookmarkStart w:id="39" w:name="PO_part3A2IncAmount1"/>
      <w:r>
        <w:rPr>
          <w:rFonts w:hint="eastAsia" w:ascii="仿宋_GB2312" w:hAnsi="仿宋_GB2312" w:eastAsia="仿宋_GB2312" w:cs="仿宋_GB2312"/>
          <w:sz w:val="30"/>
          <w:szCs w:val="30"/>
        </w:rPr>
        <w:t>比上年减少25.25万元，下降21.41%。</w:t>
      </w:r>
      <w:r>
        <w:rPr>
          <w:rFonts w:hint="eastAsia"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其中：</w:t>
      </w:r>
      <w:bookmarkStart w:id="40" w:name="PO_part3A2IncReason1"/>
      <w:r>
        <w:rPr>
          <w:rFonts w:hint="eastAsia" w:ascii="仿宋_GB2312" w:hAnsi="仿宋_GB2312" w:eastAsia="仿宋_GB2312" w:cs="仿宋_GB2312"/>
          <w:sz w:val="30"/>
          <w:szCs w:val="30"/>
        </w:rPr>
        <w:t xml:space="preserve">一般公共预算92.71万元，占收入总预算100.00%，比上年减少20.25万元，下降17.93%；政府性基金预算0.00万元，占收入总预算0.00%，与上年持平，无增减变化；国有资本经营预算0.00万元，占收入总预算0.00%，与上年持平，无增减变化；财政专户管理资金0.00万元，占收入总预算0.00%，与上年持平，无增减变化；单位资金0.00万元，占收入总预算0.00%，比上年减少5.00万元，下降100.00%。 </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年收入预算总体</w:t>
      </w:r>
      <w:bookmarkStart w:id="41" w:name="PO_part3A2Amount2"/>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，主要原因是：</w:t>
      </w:r>
      <w:bookmarkStart w:id="42" w:name="PO_part3A2IncReason2"/>
      <w:r>
        <w:rPr>
          <w:rFonts w:hint="eastAsia" w:ascii="仿宋_GB2312" w:hAnsi="仿宋_GB2312" w:eastAsia="仿宋_GB2312" w:cs="仿宋_GB2312"/>
          <w:sz w:val="30"/>
          <w:szCs w:val="30"/>
        </w:rPr>
        <w:t>经费压减。</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42"/>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部门支出总体情况说明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43" w:name="PO_part3A3Amount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年支出总预算</w:t>
      </w:r>
      <w:bookmarkStart w:id="44" w:name="PO_part3A3Amount2"/>
      <w:r>
        <w:rPr>
          <w:rFonts w:hint="eastAsia" w:ascii="仿宋_GB2312" w:hAnsi="仿宋_GB2312" w:eastAsia="仿宋_GB2312" w:cs="仿宋_GB2312"/>
          <w:sz w:val="30"/>
          <w:szCs w:val="30"/>
        </w:rPr>
        <w:t>92.71</w:t>
      </w:r>
      <w:r>
        <w:rPr>
          <w:rFonts w:hint="eastAsia"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万元，其中：基本支出预算</w:t>
      </w:r>
      <w:bookmarkStart w:id="45" w:name="PO_part3A3Amount3"/>
      <w:r>
        <w:rPr>
          <w:rFonts w:hint="eastAsia" w:ascii="仿宋_GB2312" w:hAnsi="仿宋_GB2312" w:eastAsia="仿宋_GB2312" w:cs="仿宋_GB2312"/>
          <w:sz w:val="30"/>
          <w:szCs w:val="30"/>
        </w:rPr>
        <w:t>68.71</w:t>
      </w:r>
      <w:r>
        <w:rPr>
          <w:rFonts w:hint="eastAsia"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万元，占支出总预算</w:t>
      </w:r>
      <w:bookmarkStart w:id="46" w:name="PO_part3A3Amount4"/>
      <w:r>
        <w:rPr>
          <w:rFonts w:hint="eastAsia" w:ascii="仿宋_GB2312" w:hAnsi="仿宋_GB2312" w:eastAsia="仿宋_GB2312" w:cs="仿宋_GB2312"/>
          <w:sz w:val="30"/>
          <w:szCs w:val="30"/>
        </w:rPr>
        <w:t>74.11</w:t>
      </w:r>
      <w:r>
        <w:rPr>
          <w:rFonts w:hint="eastAsia"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w:t>
      </w:r>
      <w:bookmarkStart w:id="47" w:name="PO_part3A3IncReason1"/>
      <w:r>
        <w:rPr>
          <w:rFonts w:hint="eastAsia" w:ascii="仿宋_GB2312" w:hAnsi="仿宋_GB2312" w:eastAsia="仿宋_GB2312" w:cs="仿宋_GB2312"/>
          <w:sz w:val="30"/>
          <w:szCs w:val="30"/>
        </w:rPr>
        <w:t>比上年增加5.75万元，增长9.13%；</w:t>
      </w:r>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项目支出预算</w:t>
      </w:r>
      <w:bookmarkStart w:id="48" w:name="PO_part3A3Amount5"/>
      <w:r>
        <w:rPr>
          <w:rFonts w:hint="eastAsia" w:ascii="仿宋_GB2312" w:hAnsi="仿宋_GB2312" w:eastAsia="仿宋_GB2312" w:cs="仿宋_GB2312"/>
          <w:sz w:val="30"/>
          <w:szCs w:val="30"/>
        </w:rPr>
        <w:t>24.00</w:t>
      </w:r>
      <w:bookmarkEnd w:id="48"/>
      <w:r>
        <w:rPr>
          <w:rFonts w:hint="eastAsia" w:ascii="仿宋_GB2312" w:hAnsi="仿宋_GB2312" w:eastAsia="仿宋_GB2312" w:cs="仿宋_GB2312"/>
          <w:sz w:val="30"/>
          <w:szCs w:val="30"/>
        </w:rPr>
        <w:t>万元，占支出总预算</w:t>
      </w:r>
      <w:bookmarkStart w:id="49" w:name="PO_part3A3Amount6"/>
      <w:r>
        <w:rPr>
          <w:rFonts w:hint="eastAsia" w:ascii="仿宋_GB2312" w:hAnsi="仿宋_GB2312" w:eastAsia="仿宋_GB2312" w:cs="仿宋_GB2312"/>
          <w:sz w:val="30"/>
          <w:szCs w:val="30"/>
        </w:rPr>
        <w:t>25.89</w:t>
      </w:r>
      <w:r>
        <w:rPr>
          <w:rFonts w:hint="eastAsia"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w:t>
      </w:r>
      <w:bookmarkStart w:id="50" w:name="PO_part3A3IncReason2"/>
      <w:r>
        <w:rPr>
          <w:rFonts w:hint="eastAsia" w:ascii="仿宋_GB2312" w:hAnsi="仿宋_GB2312" w:eastAsia="仿宋_GB2312" w:cs="仿宋_GB2312"/>
          <w:sz w:val="30"/>
          <w:szCs w:val="30"/>
        </w:rPr>
        <w:t xml:space="preserve">比上年减少31.00万元，下降56.36%。 </w:t>
      </w:r>
      <w:bookmarkEnd w:id="50"/>
      <w:r>
        <w:rPr>
          <w:rFonts w:hint="eastAsia" w:ascii="仿宋_GB2312" w:hAnsi="仿宋_GB2312" w:eastAsia="仿宋_GB2312" w:cs="仿宋_GB2312"/>
          <w:sz w:val="30"/>
          <w:szCs w:val="30"/>
        </w:rPr>
        <w:t>主要原因是：经费压减。</w:t>
      </w:r>
      <w:bookmarkStart w:id="51" w:name="PO_part3A3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51"/>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财政拨款收支总体情况说明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bookmarkStart w:id="52" w:name="PO_part3A4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年财政拨款收入总预算92.71万元，</w:t>
      </w:r>
      <w:bookmarkStart w:id="53" w:name="PO_part3A4IncAmount1"/>
      <w:r>
        <w:rPr>
          <w:rFonts w:hint="eastAsia" w:ascii="仿宋_GB2312" w:hAnsi="仿宋_GB2312" w:eastAsia="仿宋_GB2312" w:cs="仿宋_GB2312"/>
          <w:sz w:val="30"/>
          <w:szCs w:val="30"/>
        </w:rPr>
        <w:t>比上年减少20.25万元，下降17.93%。</w:t>
      </w:r>
      <w:bookmarkEnd w:id="53"/>
      <w:bookmarkStart w:id="54" w:name="PO_part3A4IncReason1"/>
      <w:r>
        <w:rPr>
          <w:rFonts w:hint="eastAsia" w:ascii="仿宋_GB2312" w:hAnsi="仿宋_GB2312" w:eastAsia="仿宋_GB2312" w:cs="仿宋_GB2312"/>
          <w:sz w:val="30"/>
          <w:szCs w:val="30"/>
        </w:rPr>
        <w:t>收入包括：一般公共预算拨款92.71万元；政府性基金预算拨款0.00万元；国有资本经营预算拨款0.00万元。</w:t>
      </w:r>
      <w:r>
        <w:rPr>
          <w:rFonts w:hint="eastAsia"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财政拨款</w:t>
      </w:r>
      <w:bookmarkStart w:id="55" w:name="PO_part3A4IncAmount2"/>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主要原因是：</w:t>
      </w:r>
      <w:bookmarkStart w:id="56" w:name="PO_part3A4IncReason2"/>
      <w:r>
        <w:rPr>
          <w:rFonts w:hint="eastAsia" w:ascii="仿宋_GB2312" w:hAnsi="仿宋_GB2312" w:eastAsia="仿宋_GB2312" w:cs="仿宋_GB2312"/>
          <w:sz w:val="30"/>
          <w:szCs w:val="30"/>
        </w:rPr>
        <w:t>经费压减。</w:t>
      </w:r>
      <w:bookmarkEnd w:id="56"/>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年财政拨款支出总预算92.71万元，</w:t>
      </w:r>
      <w:bookmarkStart w:id="57" w:name="PO_part3A4IncAmount3"/>
      <w:r>
        <w:rPr>
          <w:rFonts w:hint="eastAsia" w:ascii="仿宋_GB2312" w:hAnsi="仿宋_GB2312" w:eastAsia="仿宋_GB2312" w:cs="仿宋_GB2312"/>
          <w:sz w:val="30"/>
          <w:szCs w:val="30"/>
        </w:rPr>
        <w:t>比上年减少20.25万元，下降17.93%。</w:t>
      </w:r>
      <w:r>
        <w:rPr>
          <w:rFonts w:hint="eastAsia" w:ascii="仿宋_GB2312" w:hAnsi="仿宋_GB2312" w:eastAsia="仿宋_GB2312" w:cs="仿宋_GB2312"/>
          <w:sz w:val="11"/>
          <w:szCs w:val="11"/>
        </w:rPr>
        <w:t xml:space="preserve"> </w:t>
      </w:r>
      <w:bookmarkEnd w:id="57"/>
      <w:bookmarkStart w:id="58" w:name="PO_part3A4IncReason3"/>
      <w:r>
        <w:rPr>
          <w:rFonts w:hint="eastAsia" w:ascii="仿宋_GB2312" w:hAnsi="仿宋_GB2312" w:eastAsia="仿宋_GB2312" w:cs="仿宋_GB2312"/>
          <w:sz w:val="30"/>
          <w:szCs w:val="30"/>
        </w:rPr>
        <w:t>支出包括：社会保障和就业支出85.76万元、卫生健康支出1.97万元、住房保障支出4.98万元。</w:t>
      </w:r>
      <w:r>
        <w:rPr>
          <w:rFonts w:hint="eastAsia"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财政拨款支出</w:t>
      </w:r>
      <w:bookmarkStart w:id="59" w:name="PO_part3A4IncAmount4"/>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4IncReason4"/>
      <w:r>
        <w:rPr>
          <w:rFonts w:hint="eastAsia" w:ascii="仿宋_GB2312" w:hAnsi="仿宋_GB2312" w:eastAsia="仿宋_GB2312" w:cs="仿宋_GB2312"/>
          <w:sz w:val="30"/>
          <w:szCs w:val="30"/>
        </w:rPr>
        <w:t>经费压减。</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60"/>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一般公共预算支出情况说明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bookmarkStart w:id="61" w:name="PO_part3A5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年一般公共预算拨款支出</w:t>
      </w:r>
      <w:bookmarkStart w:id="62" w:name="PO_part3A5Amount1"/>
      <w:r>
        <w:rPr>
          <w:rFonts w:hint="eastAsia" w:ascii="仿宋_GB2312" w:hAnsi="仿宋_GB2312" w:eastAsia="仿宋_GB2312" w:cs="仿宋_GB2312"/>
          <w:sz w:val="30"/>
          <w:szCs w:val="30"/>
        </w:rPr>
        <w:t>92.71</w:t>
      </w:r>
      <w:r>
        <w:rPr>
          <w:rFonts w:hint="eastAsia"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5IncAmount1"/>
      <w:r>
        <w:rPr>
          <w:rFonts w:hint="eastAsia" w:ascii="仿宋_GB2312" w:hAnsi="仿宋_GB2312" w:eastAsia="仿宋_GB2312" w:cs="仿宋_GB2312"/>
          <w:sz w:val="30"/>
          <w:szCs w:val="30"/>
        </w:rPr>
        <w:t>比上年减少20.25万元，下降17.93%。</w:t>
      </w:r>
      <w:r>
        <w:rPr>
          <w:rFonts w:hint="eastAsia"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其中：基本支出68.71万元，项目支出24.00万元。具体支出预算如下：</w:t>
      </w:r>
      <w:bookmarkStart w:id="64" w:name="PO_part3A5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社会保障和就业支出（类）行政事业单位养老支出（款）事业单位离退休（项）支出5.87万元，比上年增加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1.60万元，增长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37.47%。主要原因是：退休人员补助费调增。</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社会保障和就业支出（类）行政事业单位养老支出（款）机关事业单位基本养老保险缴费支出（项）支出8.48万元，比上年减少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0.06万元，下降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0.70%。主要原因是：人员调出。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社会保障和就业支出（类）行政事业单位养老支出（款）机关事业单位职业年金缴费支出（项）支出4.24万元，比上年增加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4.24万元，增长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100%。主要原因是：职业年金单位缴纳部分纳入预算。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社会保障和就业支出（类）抚恤（款）其他优抚支出（项）支出67.17万元，比上年减少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24.05万元，下降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26.36%。主要原因是：经费压减。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卫生健康支出（类）行政事业单位医疗（款）事业单位医疗（项）支出1.97万元，比上年减少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0.56万元，下降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22.13%。主要原因是：人员调出。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住房保障支出（类）住房改革支出（款）住房公积金（项）支出4.98万元，比上年减少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1.42万元，下降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22.19%。主要原因是：人员调出。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64"/>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年一般公共预算基本支出</w:t>
      </w:r>
      <w:bookmarkStart w:id="65" w:name="PO_part3A6Amount1"/>
      <w:r>
        <w:rPr>
          <w:rFonts w:hint="eastAsia" w:ascii="仿宋_GB2312" w:hAnsi="仿宋_GB2312" w:eastAsia="仿宋_GB2312" w:cs="仿宋_GB2312"/>
          <w:sz w:val="30"/>
          <w:szCs w:val="30"/>
        </w:rPr>
        <w:t>68.71</w:t>
      </w:r>
      <w:r>
        <w:rPr>
          <w:rFonts w:hint="eastAsia"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w:t>
      </w:r>
      <w:bookmarkStart w:id="66" w:name="PO_part3A6IncAmount1"/>
      <w:r>
        <w:rPr>
          <w:rFonts w:hint="eastAsia" w:ascii="仿宋_GB2312" w:hAnsi="仿宋_GB2312" w:eastAsia="仿宋_GB2312" w:cs="仿宋_GB2312"/>
          <w:sz w:val="30"/>
          <w:szCs w:val="30"/>
        </w:rPr>
        <w:t>比上年增加5.75万元，增长9.13%。</w:t>
      </w:r>
      <w:r>
        <w:rPr>
          <w:rFonts w:hint="eastAsia"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人员经费</w:t>
      </w:r>
      <w:bookmarkStart w:id="67" w:name="PO_part3A6Amount2"/>
      <w:r>
        <w:rPr>
          <w:rFonts w:hint="eastAsia" w:ascii="仿宋_GB2312" w:hAnsi="仿宋_GB2312" w:eastAsia="仿宋_GB2312" w:cs="仿宋_GB2312"/>
          <w:sz w:val="30"/>
          <w:szCs w:val="30"/>
        </w:rPr>
        <w:t>64.23</w:t>
      </w:r>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bookmarkStart w:id="68" w:name="PO_part3A6IncAmount2"/>
      <w:r>
        <w:rPr>
          <w:rFonts w:hint="eastAsia" w:ascii="仿宋_GB2312" w:hAnsi="仿宋_GB2312" w:eastAsia="仿宋_GB2312" w:cs="仿宋_GB2312"/>
          <w:sz w:val="30"/>
          <w:szCs w:val="30"/>
        </w:rPr>
        <w:t>比上年增加7.35万元，增长12.92%，</w:t>
      </w:r>
      <w:r>
        <w:rPr>
          <w:rFonts w:hint="eastAsia"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主要包括：</w:t>
      </w:r>
      <w:bookmarkStart w:id="69" w:name="PO_part3A6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工资福利支出（类）基本工资（款）支出14.32万元，比上年减少4.51万元，下降23.95%。主要原因：人员调出。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工资福利支出（类）津贴补贴（款）支出1.96万元，比上年减少0.29万元，下降12.89%。主要原因：人员调出。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工资福利支出（类）绩效工资（款）支出22.23万元，比上年增加8.36万元，增长60.27%。主要原因：绩效工资增量纳入预算。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工资福利支出（类）机关事业单位基本养老保险缴费（款）支出8.48万元，比上年减少0.06万元，下降0.70%。主要原因：人员调出。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工资福利支出（类）职业年金缴费（款）支出4.24万元，比上年增加4.24万元，增长100%。主要原因：职业年金单位缴纳部分纳入预算。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工资福利支出（类）职工基本医疗保险缴费（款）支出1.91万元，比上年减少0.57万元，下降22.98%。主要原因：人员调出。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工资福利支出（类）其他社会保障缴费（款）支出0.32万元，与上年持平，无增减变化。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工资福利支出（类）住房公积金（款）支出4.98万元，比上年减少1.42万元，下降22.19%。主要原因：人员调出。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对个人和家庭的补助（类）退休费（款）支出5.79万元，比上年增加1.60万元，增长38.19%。主要原因：退休人员补助费调增。</w:t>
      </w:r>
      <w:bookmarkEnd w:id="69"/>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公用经费4.48万元，</w:t>
      </w:r>
      <w:bookmarkStart w:id="70" w:name="PO_part3A6IncAmount3"/>
      <w:r>
        <w:rPr>
          <w:rFonts w:hint="eastAsia" w:ascii="仿宋_GB2312" w:hAnsi="仿宋_GB2312" w:eastAsia="仿宋_GB2312" w:cs="仿宋_GB2312"/>
          <w:sz w:val="30"/>
          <w:szCs w:val="30"/>
        </w:rPr>
        <w:t>比上年减少1.60万元，下降26.32%，</w:t>
      </w:r>
      <w:r>
        <w:rPr>
          <w:rFonts w:hint="eastAsia"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主要包括：</w:t>
      </w:r>
      <w:bookmarkStart w:id="71" w:name="PO_part3A6IncReason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商品和服务支出（类）办公费（款）支出0.81万元，比上年减少0.09万元，下降10.00%。主要原因：经费压减。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商品和服务支出（类）水费（款）支出0.55万元，比上年减少0.30万元，下降35.29%。主要原因：经费压减。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商品和服务支出（类）电费（款）支出0.65万元，比上年减少0.48万元，下降42.48%。主要原因：经费压减。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商品和服务支出（类）邮电费（款）支出0.40万元，比上年减少0.10万元，下降20.00%。主要原因：经费压减。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商品和服务支出（类）差旅费（款）支出0.09万元，比上年减少0.16万元，下降64.00%。主要原因：经费压减。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商品和服务支出（类）福利费（款）支出0.30万元，比上年减少0.07万元，下降18.92%。主要原因：经费压减。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商品和服务支出（类）其他商品和服务支出（款）支出1.68万元，比上年减少0.40万元，下降19.23%。主要原因：经费压减。</w:t>
      </w:r>
    </w:p>
    <w:bookmarkEnd w:id="71"/>
    <w:p>
      <w:pPr>
        <w:ind w:firstLine="600" w:firstLineChars="200"/>
        <w:rPr>
          <w:rFonts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一般公共预算“三公”经费安排情况说明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我部门2024年一般公共预算安排的“三公”经费支出预算0.00万元，同口径比上年预算</w:t>
      </w:r>
      <w:bookmarkStart w:id="72" w:name="PO_part3A7Amount9"/>
      <w:r>
        <w:rPr>
          <w:rFonts w:hint="eastAsia" w:ascii="仿宋_GB2312" w:hAnsi="仿宋_GB2312" w:eastAsia="仿宋_GB2312" w:cs="仿宋_GB2312"/>
          <w:sz w:val="30"/>
          <w:szCs w:val="30"/>
          <w:lang w:val="en-US" w:eastAsia="zh-CN"/>
        </w:rPr>
        <w:t xml:space="preserve">0.00 </w:t>
      </w:r>
      <w:bookmarkEnd w:id="72"/>
      <w:r>
        <w:rPr>
          <w:rFonts w:hint="eastAsia" w:ascii="仿宋_GB2312" w:hAnsi="仿宋_GB2312" w:eastAsia="仿宋_GB2312" w:cs="仿宋_GB2312"/>
          <w:sz w:val="30"/>
          <w:szCs w:val="30"/>
          <w:lang w:val="en-US" w:eastAsia="zh-CN"/>
        </w:rPr>
        <w:t>万元，与上年持平，无增减变化。</w:t>
      </w:r>
      <w:r>
        <w:rPr>
          <w:rFonts w:hint="eastAsia" w:ascii="仿宋_GB2312" w:hAnsi="仿宋_GB2312" w:eastAsia="仿宋_GB2312" w:cs="仿宋_GB2312"/>
          <w:sz w:val="11"/>
          <w:szCs w:val="11"/>
        </w:rPr>
        <w:t xml:space="preserve"> </w:t>
      </w:r>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1.因公出国（境）经费预算</w:t>
      </w:r>
      <w:bookmarkStart w:id="73" w:name="PO_part3A7Amount10"/>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万元，与上年持平，无增减变化。</w:t>
      </w:r>
      <w:r>
        <w:rPr>
          <w:rFonts w:hint="eastAsia" w:asci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2.公务接待费预算</w:t>
      </w:r>
      <w:bookmarkStart w:id="74" w:name="PO_part3A7Amount11"/>
      <w:r>
        <w:rPr>
          <w:rFonts w:hint="eastAsia" w:ascii="仿宋_GB2312" w:hAnsi="仿宋_GB2312" w:eastAsia="仿宋_GB2312" w:cs="仿宋_GB2312"/>
          <w:sz w:val="30"/>
          <w:szCs w:val="30"/>
        </w:rPr>
        <w:t>0.00</w:t>
      </w:r>
      <w:bookmarkEnd w:id="74"/>
      <w:r>
        <w:rPr>
          <w:rFonts w:hint="eastAsia" w:ascii="仿宋_GB2312" w:hAnsi="仿宋_GB2312" w:eastAsia="仿宋_GB2312" w:cs="仿宋_GB2312"/>
          <w:sz w:val="30"/>
          <w:szCs w:val="30"/>
        </w:rPr>
        <w:t>万元，与上年持平，无增减变化。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公务用车购置及运行费预算</w:t>
      </w:r>
      <w:bookmarkStart w:id="75" w:name="PO_part3A7Amount12"/>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万元，与上年持平，无增减变化，其中：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公务用车购置费预算0.00万元，与上年持平，无增减变化。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仿宋_GB2312"/>
          <w:color w:val="000000"/>
          <w:kern w:val="0"/>
          <w:sz w:val="32"/>
          <w:szCs w:val="32"/>
        </w:rPr>
      </w:pPr>
      <w:r>
        <w:rPr>
          <w:rFonts w:hint="eastAsia" w:ascii="仿宋_GB2312" w:hAnsi="仿宋_GB2312" w:eastAsia="仿宋_GB2312" w:cs="仿宋_GB2312"/>
          <w:sz w:val="30"/>
          <w:szCs w:val="30"/>
        </w:rPr>
        <w:t>公务用车运行费预算0.00万元，与上年持平，无增减变化。</w:t>
      </w:r>
      <w:bookmarkStart w:id="76" w:name="PO_part3A7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76"/>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政府性基金预算支出情况说明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百色起义纪念碑园 2024</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没有政府性基金预算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rPr>
        <w:t>国有资本经营预算支出情况说明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百色起义纪念碑园 2024</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没有国有资本经营预算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rPr>
        <w:t>其他重要事项说明</w:t>
      </w:r>
    </w:p>
    <w:p>
      <w:pPr>
        <w:ind w:left="630"/>
        <w:outlineLvl w:val="2"/>
        <w:rPr>
          <w:rFonts w:hint="eastAsia" w:ascii="黑体" w:hAnsi="黑体" w:eastAsia="黑体" w:cs="黑体"/>
          <w:sz w:val="32"/>
          <w:szCs w:val="32"/>
        </w:rPr>
      </w:pPr>
      <w:r>
        <w:rPr>
          <w:rFonts w:hint="eastAsia" w:ascii="黑体" w:hAnsi="黑体" w:eastAsia="黑体" w:cs="黑体"/>
          <w:sz w:val="32"/>
          <w:szCs w:val="32"/>
        </w:rPr>
        <w:t>（一）机关运行经费安排情况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 xml:space="preserve">年，本部门事业单位相关运行费用27.20万元，比上年减少26.80万元，下降49.63%，主要原因是:经费压减。 </w:t>
      </w:r>
    </w:p>
    <w:p>
      <w:pPr>
        <w:ind w:left="630"/>
        <w:outlineLvl w:val="2"/>
        <w:rPr>
          <w:rFonts w:hint="eastAsia" w:ascii="黑体" w:hAnsi="黑体" w:eastAsia="黑体" w:cs="黑体"/>
          <w:sz w:val="32"/>
          <w:szCs w:val="32"/>
        </w:rPr>
      </w:pPr>
      <w:r>
        <w:rPr>
          <w:rFonts w:hint="eastAsia" w:ascii="黑体" w:hAnsi="黑体" w:eastAsia="黑体" w:cs="黑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77" w:name="PO_part3A10Year2"/>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年本部门政府采购安排0.16万元，</w:t>
      </w:r>
      <w:bookmarkStart w:id="78" w:name="PO_part3A10IncAmount2"/>
      <w:r>
        <w:rPr>
          <w:rFonts w:hint="eastAsia" w:ascii="仿宋_GB2312" w:hAnsi="仿宋_GB2312" w:eastAsia="仿宋_GB2312" w:cs="仿宋_GB2312"/>
          <w:sz w:val="30"/>
          <w:szCs w:val="30"/>
        </w:rPr>
        <w:t>比上年减少50.00万元，下降99.68%。</w:t>
      </w:r>
      <w:r>
        <w:rPr>
          <w:rFonts w:hint="eastAsia"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其中：政府集中采购预算0.16万元，占政府采购预算100.00%，</w:t>
      </w:r>
      <w:bookmarkStart w:id="79" w:name="PO_part3A10IncAmount3"/>
      <w:r>
        <w:rPr>
          <w:rFonts w:hint="eastAsia" w:ascii="仿宋_GB2312" w:hAnsi="仿宋_GB2312" w:eastAsia="仿宋_GB2312" w:cs="仿宋_GB2312"/>
          <w:sz w:val="30"/>
          <w:szCs w:val="30"/>
        </w:rPr>
        <w:t>比上年增加0.00万元，增长0.00%；</w:t>
      </w:r>
      <w:r>
        <w:rPr>
          <w:rFonts w:hint="eastAsia"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分散采购预算0.00万元，占政府采购预算0.00%，</w:t>
      </w:r>
      <w:bookmarkStart w:id="80" w:name="PO_part3A10IncAmount4"/>
      <w:r>
        <w:rPr>
          <w:rFonts w:hint="eastAsia" w:ascii="仿宋_GB2312" w:hAnsi="仿宋_GB2312" w:eastAsia="仿宋_GB2312" w:cs="仿宋_GB2312"/>
          <w:sz w:val="30"/>
          <w:szCs w:val="30"/>
        </w:rPr>
        <w:t>比上年减少50.00万元，下降100.00%。</w:t>
      </w:r>
      <w:r>
        <w:rPr>
          <w:rFonts w:hint="eastAsia" w:ascii="仿宋_GB2312" w:hAnsi="仿宋_GB2312" w:eastAsia="仿宋_GB2312" w:cs="仿宋_GB2312"/>
          <w:sz w:val="11"/>
          <w:szCs w:val="11"/>
        </w:rPr>
        <w:t xml:space="preserve"> </w:t>
      </w:r>
      <w:bookmarkEnd w:id="8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按政府采购项目类型分为货物类采购、工程类采购和服务类采购三种类型。其中：货物类采购预算0.16万元，工程类采购预算0.00万元，服务类采购预算0.00万元等。园区外包管护服务打包至主管局统管，不再独立进行政府采购。</w:t>
      </w:r>
    </w:p>
    <w:p>
      <w:pPr>
        <w:ind w:left="630"/>
        <w:outlineLvl w:val="2"/>
        <w:rPr>
          <w:rFonts w:hint="eastAsia" w:ascii="黑体" w:hAnsi="黑体" w:eastAsia="黑体" w:cs="黑体"/>
          <w:sz w:val="32"/>
          <w:szCs w:val="32"/>
        </w:rPr>
      </w:pPr>
      <w:r>
        <w:rPr>
          <w:rFonts w:hint="eastAsia" w:ascii="黑体" w:hAnsi="黑体" w:eastAsia="黑体" w:cs="黑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截至2023年12月31日，我部门实有在编车辆0.00辆，其中：一般公务用车0.00辆，执法执勤用车0.00辆，其他业务用车0.00辆。车辆具体占用情况如下：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百色起义纪念碑园</w:t>
      </w:r>
      <w:r>
        <w:rPr>
          <w:rFonts w:hint="eastAsia" w:ascii="仿宋_GB2312" w:hAnsi="仿宋_GB2312" w:eastAsia="仿宋_GB2312" w:cs="仿宋_GB2312"/>
          <w:sz w:val="32"/>
          <w:szCs w:val="32"/>
        </w:rPr>
        <w:t>单位0辆，包括0辆一般公务用车，0辆执法执勤用车，0辆其他业务用车。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numPr>
          <w:ilvl w:val="0"/>
          <w:numId w:val="0"/>
        </w:numPr>
        <w:ind w:left="630" w:leftChars="0"/>
        <w:outlineLvl w:val="2"/>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）重点项目预算绩效目标等情况说明</w:t>
      </w:r>
      <w:bookmarkStart w:id="81" w:name="PO_part3A10IncReason2"/>
      <w:r>
        <w:rPr>
          <w:rFonts w:hint="eastAsia" w:ascii="仿宋_GB2312" w:hAnsi="仿宋_GB2312" w:eastAsia="仿宋_GB2312" w:cs="仿宋_GB2312"/>
          <w:sz w:val="32"/>
          <w:szCs w:val="32"/>
        </w:rPr>
        <w:t xml:space="preserve"> </w:t>
      </w:r>
      <w:bookmarkEnd w:id="8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1.我部门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年所有项目支出全面实施绩效目标管理，涉及市本级项目1个，预算资金24万元。绩效目标情况详见</w:t>
      </w: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2及附件3</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2.重点项目预算绩效目标说明。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333333"/>
          <w:spacing w:val="0"/>
          <w:sz w:val="30"/>
          <w:szCs w:val="30"/>
          <w:shd w:val="clear" w:fill="FFFFFF"/>
        </w:rPr>
        <w:t>百色起义纪念</w:t>
      </w:r>
      <w:r>
        <w:rPr>
          <w:rFonts w:hint="eastAsia" w:ascii="仿宋_GB2312" w:hAnsi="宋体" w:eastAsia="仿宋_GB2312" w:cs="仿宋_GB2312"/>
          <w:i w:val="0"/>
          <w:iCs w:val="0"/>
          <w:caps w:val="0"/>
          <w:color w:val="333333"/>
          <w:spacing w:val="0"/>
          <w:sz w:val="30"/>
          <w:szCs w:val="30"/>
          <w:shd w:val="clear" w:fill="FFFFFF"/>
          <w:lang w:eastAsia="zh-CN"/>
        </w:rPr>
        <w:t>碑园</w:t>
      </w:r>
      <w:r>
        <w:rPr>
          <w:rFonts w:hint="default" w:ascii="仿宋_GB2312" w:hAnsi="宋体" w:eastAsia="仿宋_GB2312" w:cs="仿宋_GB2312"/>
          <w:i w:val="0"/>
          <w:iCs w:val="0"/>
          <w:caps w:val="0"/>
          <w:color w:val="333333"/>
          <w:spacing w:val="0"/>
          <w:sz w:val="30"/>
          <w:szCs w:val="30"/>
          <w:shd w:val="clear" w:fill="FFFFFF"/>
        </w:rPr>
        <w:t>2024年度没有重点项目，故无重点项目预算绩效目标说明。</w:t>
      </w:r>
      <w:bookmarkStart w:id="82" w:name="_GoBack"/>
      <w:bookmarkEnd w:id="82"/>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outlineLvl w:val="0"/>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left="1"/>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一、财政拨款收入</w:t>
      </w:r>
      <w:r>
        <w:rPr>
          <w:rFonts w:hint="eastAsia" w:ascii="仿宋_GB2312" w:eastAsia="仿宋_GB2312"/>
          <w:b/>
          <w:sz w:val="32"/>
          <w:szCs w:val="32"/>
        </w:rPr>
        <w:t>：</w:t>
      </w:r>
      <w:r>
        <w:rPr>
          <w:rFonts w:hint="eastAsia" w:ascii="仿宋_GB2312" w:eastAsia="仿宋_GB2312"/>
          <w:sz w:val="32"/>
          <w:szCs w:val="32"/>
          <w:lang w:val="en-US" w:eastAsia="zh-CN"/>
        </w:rPr>
        <w:t>指预算单位从本级财政部门取得的财政预算资金收入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二、事业收入</w:t>
      </w:r>
      <w:r>
        <w:rPr>
          <w:rFonts w:hint="eastAsia" w:ascii="仿宋_GB2312" w:eastAsia="仿宋_GB2312"/>
          <w:b/>
          <w:sz w:val="32"/>
          <w:szCs w:val="32"/>
        </w:rPr>
        <w:t>：</w:t>
      </w:r>
      <w:r>
        <w:rPr>
          <w:rFonts w:hint="eastAsia" w:ascii="仿宋_GB2312" w:eastAsia="仿宋_GB2312"/>
          <w:sz w:val="32"/>
          <w:szCs w:val="32"/>
          <w:lang w:val="en-US" w:eastAsia="zh-CN"/>
        </w:rPr>
        <w:t>指事业单位开展专业业务活动及辅助活动所取得的收入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三、经营收入</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四、其他收入</w:t>
      </w:r>
      <w:r>
        <w:rPr>
          <w:rFonts w:hint="eastAsia" w:ascii="仿宋_GB2312" w:eastAsia="仿宋_GB2312"/>
          <w:b/>
          <w:sz w:val="32"/>
          <w:szCs w:val="32"/>
        </w:rPr>
        <w:t>：</w:t>
      </w:r>
      <w:r>
        <w:rPr>
          <w:rFonts w:hint="eastAsia" w:ascii="仿宋_GB2312" w:eastAsia="仿宋_GB2312"/>
          <w:sz w:val="32"/>
          <w:szCs w:val="32"/>
          <w:lang w:val="en-US" w:eastAsia="zh-CN"/>
        </w:rPr>
        <w:t>指除上述“财政拨款收入”、“事业收入”、“经营收入”等以外的收入。主要是非本级财政拨款、存款利息收入、事业单位固定资产出租收入等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五、用事业基金弥补收支差额</w:t>
      </w:r>
      <w:r>
        <w:rPr>
          <w:rFonts w:hint="eastAsia" w:ascii="仿宋_GB2312" w:eastAsia="仿宋_GB2312"/>
          <w:b/>
          <w:sz w:val="32"/>
          <w:szCs w:val="32"/>
        </w:rPr>
        <w:t>：</w:t>
      </w:r>
      <w:r>
        <w:rPr>
          <w:rFonts w:hint="eastAsia" w:ascii="仿宋_GB2312" w:eastAsia="仿宋_GB2312"/>
          <w:sz w:val="32"/>
          <w:szCs w:val="32"/>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六、年初结转和结余</w:t>
      </w:r>
      <w:r>
        <w:rPr>
          <w:rFonts w:hint="eastAsia" w:ascii="仿宋_GB2312" w:eastAsia="仿宋_GB2312"/>
          <w:b/>
          <w:sz w:val="32"/>
          <w:szCs w:val="32"/>
        </w:rPr>
        <w:t>：</w:t>
      </w:r>
      <w:r>
        <w:rPr>
          <w:rFonts w:hint="eastAsia" w:ascii="仿宋_GB2312" w:eastAsia="仿宋_GB2312"/>
          <w:sz w:val="32"/>
          <w:szCs w:val="32"/>
          <w:lang w:val="en-US" w:eastAsia="zh-CN"/>
        </w:rPr>
        <w:t>指以前年度尚未完成、结转到本年按有关规定继续使用的资金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七、结余分配</w:t>
      </w:r>
      <w:r>
        <w:rPr>
          <w:rFonts w:hint="eastAsia" w:ascii="仿宋_GB2312" w:eastAsia="仿宋_GB2312"/>
          <w:b/>
          <w:sz w:val="32"/>
          <w:szCs w:val="32"/>
        </w:rPr>
        <w:t>：</w:t>
      </w:r>
      <w:r>
        <w:rPr>
          <w:rFonts w:hint="eastAsia" w:ascii="仿宋_GB2312" w:eastAsia="仿宋_GB2312"/>
          <w:sz w:val="32"/>
          <w:szCs w:val="32"/>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八、年末结转和结余</w:t>
      </w:r>
      <w:r>
        <w:rPr>
          <w:rFonts w:hint="eastAsia" w:ascii="仿宋_GB2312" w:eastAsia="仿宋_GB2312"/>
          <w:b/>
          <w:sz w:val="32"/>
          <w:szCs w:val="32"/>
        </w:rPr>
        <w:t>：</w:t>
      </w:r>
      <w:r>
        <w:rPr>
          <w:rFonts w:hint="eastAsia" w:ascii="仿宋_GB2312" w:eastAsia="仿宋_GB2312"/>
          <w:sz w:val="32"/>
          <w:szCs w:val="32"/>
          <w:lang w:val="en-US" w:eastAsia="zh-CN"/>
        </w:rPr>
        <w:t>指本年度或以前年度预算安排、因客观条件发生变化无法按原计划实施，需要延迟到以后年度按有关规定继续使用的资金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九、基本支出</w:t>
      </w:r>
      <w:r>
        <w:rPr>
          <w:rFonts w:hint="eastAsia" w:ascii="仿宋_GB2312" w:eastAsia="仿宋_GB2312"/>
          <w:b/>
          <w:sz w:val="32"/>
          <w:szCs w:val="32"/>
        </w:rPr>
        <w:t>：</w:t>
      </w:r>
      <w:r>
        <w:rPr>
          <w:rFonts w:hint="eastAsia" w:ascii="仿宋_GB2312" w:eastAsia="仿宋_GB2312"/>
          <w:sz w:val="32"/>
          <w:szCs w:val="32"/>
          <w:lang w:val="en-US" w:eastAsia="zh-CN"/>
        </w:rPr>
        <w:t>指为保障机构正常运转、完成日常工作任务而发生的人员支出和公用支出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十、项目支出</w:t>
      </w:r>
      <w:r>
        <w:rPr>
          <w:rFonts w:hint="eastAsia" w:ascii="仿宋_GB2312" w:eastAsia="仿宋_GB2312"/>
          <w:b/>
          <w:sz w:val="32"/>
          <w:szCs w:val="32"/>
        </w:rPr>
        <w:t>：</w:t>
      </w:r>
      <w:r>
        <w:rPr>
          <w:rFonts w:hint="eastAsia" w:ascii="仿宋_GB2312" w:eastAsia="仿宋_GB2312"/>
          <w:sz w:val="32"/>
          <w:szCs w:val="32"/>
          <w:lang w:val="en-US" w:eastAsia="zh-CN"/>
        </w:rPr>
        <w:t>指在基本支出之外为完成特定行政任务和事业发展目标所发生的支出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十一、经营支出</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十二、“三公”经费</w:t>
      </w:r>
      <w:r>
        <w:rPr>
          <w:rFonts w:hint="eastAsia" w:ascii="仿宋_GB2312" w:eastAsia="仿宋_GB2312"/>
          <w:b/>
          <w:sz w:val="32"/>
          <w:szCs w:val="32"/>
        </w:rPr>
        <w:t>：</w:t>
      </w:r>
      <w:r>
        <w:rPr>
          <w:rFonts w:hint="eastAsia" w:ascii="仿宋_GB2312" w:eastAsia="仿宋_GB2312"/>
          <w:sz w:val="32"/>
          <w:szCs w:val="32"/>
          <w:lang w:val="en-US" w:eastAsia="zh-CN"/>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十三、机关运行经费</w:t>
      </w:r>
      <w:r>
        <w:rPr>
          <w:rFonts w:hint="eastAsia" w:ascii="仿宋_GB2312" w:eastAsia="仿宋_GB2312"/>
          <w:b/>
          <w:sz w:val="32"/>
          <w:szCs w:val="32"/>
        </w:rPr>
        <w:t>：</w:t>
      </w:r>
      <w:r>
        <w:rPr>
          <w:rFonts w:hint="eastAsia" w:ascii="仿宋_GB2312" w:eastAsia="仿宋_GB2312"/>
          <w:sz w:val="32"/>
          <w:szCs w:val="32"/>
          <w:lang w:val="en-US" w:eastAsia="zh-CN"/>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0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YTgzNjVmZWFmNWNjMzNiNzk4Yjk5ODFiZjBjMzc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1AE5"/>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B4089E"/>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84027"/>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F36C20"/>
    <w:rsid w:val="10010DE7"/>
    <w:rsid w:val="101146EA"/>
    <w:rsid w:val="10117079"/>
    <w:rsid w:val="101747CE"/>
    <w:rsid w:val="10305890"/>
    <w:rsid w:val="103435D2"/>
    <w:rsid w:val="103C005D"/>
    <w:rsid w:val="103F4B2D"/>
    <w:rsid w:val="104F21BA"/>
    <w:rsid w:val="1052657B"/>
    <w:rsid w:val="1053332C"/>
    <w:rsid w:val="10563548"/>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701E29"/>
    <w:rsid w:val="11717704"/>
    <w:rsid w:val="117A14B8"/>
    <w:rsid w:val="117A2E35"/>
    <w:rsid w:val="11862280"/>
    <w:rsid w:val="119A56B6"/>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922832"/>
    <w:rsid w:val="129465AA"/>
    <w:rsid w:val="129701D5"/>
    <w:rsid w:val="129B7767"/>
    <w:rsid w:val="129C720C"/>
    <w:rsid w:val="12AF5192"/>
    <w:rsid w:val="12C616AB"/>
    <w:rsid w:val="12DD1CFF"/>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8F6C2A"/>
    <w:rsid w:val="16A0311C"/>
    <w:rsid w:val="16C44047"/>
    <w:rsid w:val="16C62AAA"/>
    <w:rsid w:val="16DE0A1B"/>
    <w:rsid w:val="16EA7853"/>
    <w:rsid w:val="16FD6AE2"/>
    <w:rsid w:val="17057A2A"/>
    <w:rsid w:val="17410B14"/>
    <w:rsid w:val="17577A16"/>
    <w:rsid w:val="175E2CE2"/>
    <w:rsid w:val="17664476"/>
    <w:rsid w:val="176B0226"/>
    <w:rsid w:val="17777B16"/>
    <w:rsid w:val="1783099B"/>
    <w:rsid w:val="178F5592"/>
    <w:rsid w:val="17945B62"/>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822A00"/>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2A296B"/>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9047F7"/>
    <w:rsid w:val="34AC10D9"/>
    <w:rsid w:val="34AC4388"/>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EA4FEF"/>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792B54"/>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017D9"/>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5D758B"/>
    <w:rsid w:val="51861D6F"/>
    <w:rsid w:val="51890380"/>
    <w:rsid w:val="51894824"/>
    <w:rsid w:val="5196078D"/>
    <w:rsid w:val="51DB0FC0"/>
    <w:rsid w:val="51F223CA"/>
    <w:rsid w:val="52016370"/>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552"/>
    <w:rsid w:val="598A113A"/>
    <w:rsid w:val="598F04FE"/>
    <w:rsid w:val="599D197A"/>
    <w:rsid w:val="59A71F8F"/>
    <w:rsid w:val="59AB01F8"/>
    <w:rsid w:val="59B652B4"/>
    <w:rsid w:val="59B9431E"/>
    <w:rsid w:val="59C53F20"/>
    <w:rsid w:val="59C97EB4"/>
    <w:rsid w:val="59D40607"/>
    <w:rsid w:val="59D625D1"/>
    <w:rsid w:val="59DD570D"/>
    <w:rsid w:val="59E22D24"/>
    <w:rsid w:val="59FC1CC9"/>
    <w:rsid w:val="5A08675B"/>
    <w:rsid w:val="5A2A0227"/>
    <w:rsid w:val="5A3115B5"/>
    <w:rsid w:val="5A405C9C"/>
    <w:rsid w:val="5A490FF5"/>
    <w:rsid w:val="5A537A69"/>
    <w:rsid w:val="5A5A57AD"/>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F35BF"/>
    <w:rsid w:val="5DD230AF"/>
    <w:rsid w:val="5DF66BDC"/>
    <w:rsid w:val="5DFB359E"/>
    <w:rsid w:val="5E2B4A69"/>
    <w:rsid w:val="5E394EDC"/>
    <w:rsid w:val="5E443FAD"/>
    <w:rsid w:val="5E727157"/>
    <w:rsid w:val="5E772DB2"/>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661D1D"/>
    <w:rsid w:val="6E684718"/>
    <w:rsid w:val="6E981591"/>
    <w:rsid w:val="6EAA39A2"/>
    <w:rsid w:val="6EB365E5"/>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00A58"/>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autoRedefine/>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autoRedefine/>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autoRedefine/>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8">
    <w:name w:val="footer"/>
    <w:basedOn w:val="1"/>
    <w:link w:val="15"/>
    <w:autoRedefine/>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autoRedefine/>
    <w:unhideWhenUsed/>
    <w:uiPriority w:val="99"/>
    <w:rPr>
      <w:color w:val="0000FF" w:themeColor="hyperlink"/>
      <w:u w:val="single"/>
      <w14:textFill>
        <w14:solidFill>
          <w14:schemeClr w14:val="hlink"/>
        </w14:solidFill>
      </w14:textFill>
    </w:rPr>
  </w:style>
  <w:style w:type="character" w:customStyle="1" w:styleId="15">
    <w:name w:val="页脚 字符"/>
    <w:link w:val="8"/>
    <w:autoRedefine/>
    <w:qFormat/>
    <w:uiPriority w:val="0"/>
    <w:rPr>
      <w:rFonts w:ascii="Calibri" w:hAnsi="Calibri" w:eastAsia="宋体" w:cs="Times New Roman"/>
      <w:kern w:val="2"/>
      <w:sz w:val="18"/>
      <w:szCs w:val="18"/>
    </w:rPr>
  </w:style>
  <w:style w:type="character" w:customStyle="1" w:styleId="16">
    <w:name w:val="页眉 字符"/>
    <w:link w:val="9"/>
    <w:autoRedefine/>
    <w:qFormat/>
    <w:uiPriority w:val="0"/>
    <w:rPr>
      <w:rFonts w:ascii="Calibri" w:hAnsi="Calibri" w:eastAsia="宋体" w:cs="Times New Roman"/>
      <w:kern w:val="2"/>
      <w:sz w:val="18"/>
      <w:szCs w:val="18"/>
    </w:rPr>
  </w:style>
  <w:style w:type="character" w:customStyle="1" w:styleId="17">
    <w:name w:val="_Style 8"/>
    <w:autoRedefine/>
    <w:qFormat/>
    <w:uiPriority w:val="31"/>
    <w:rPr>
      <w:smallCaps/>
      <w:color w:val="5A5A5A"/>
    </w:rPr>
  </w:style>
  <w:style w:type="paragraph" w:customStyle="1" w:styleId="18">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1744</Words>
  <Characters>9947</Characters>
  <Lines>82</Lines>
  <Paragraphs>23</Paragraphs>
  <TotalTime>9</TotalTime>
  <ScaleCrop>false</ScaleCrop>
  <LinksUpToDate>false</LinksUpToDate>
  <CharactersWithSpaces>11668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2023-01-29T10:12:00Z</dcterms:created>
  <dc:creator>Administrator</dc:creator>
  <cp:lastModifiedBy>韦妮娜</cp:lastModifiedBy>
  <cp:lastPrinted>2018-02-09T07:39:00Z</cp:lastPrinted>
  <dcterms:modified xsi:type="dcterms:W3CDTF">2024-03-19T02:46:02Z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EF7E255193C14E85AD5D282B939CFD45_13</vt:lpwstr>
  </property>
</Properties>
</file>