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cs="黑体"/>
          <w:kern w:val="0"/>
          <w:sz w:val="52"/>
          <w:szCs w:val="52"/>
        </w:rPr>
      </w:pPr>
      <w:r>
        <w:rPr>
          <w:rFonts w:hint="eastAsia" w:ascii="黑体" w:hAnsi="黑体" w:eastAsia="黑体" w:cs="黑体"/>
          <w:bCs/>
          <w:color w:val="000000"/>
          <w:sz w:val="52"/>
          <w:szCs w:val="52"/>
          <w:u w:val="single"/>
        </w:rPr>
        <w:t>百色起义纪念碑园</w:t>
      </w:r>
      <w:r>
        <w:rPr>
          <w:rFonts w:ascii="黑体" w:hAnsi="黑体" w:eastAsia="黑体" w:cs="黑体"/>
          <w:color w:val="000000"/>
          <w:sz w:val="52"/>
          <w:u w:val="single" w:color="auto"/>
        </w:rPr>
        <w:t xml:space="preserve"> </w:t>
      </w:r>
      <w:r>
        <w:rPr>
          <w:rFonts w:hint="eastAsia" w:ascii="黑体" w:hAnsi="黑体" w:eastAsia="黑体" w:cs="黑体"/>
          <w:kern w:val="0"/>
          <w:sz w:val="52"/>
          <w:szCs w:val="52"/>
        </w:rPr>
        <w:t>2022年度部门决算</w:t>
      </w:r>
    </w:p>
    <w:p>
      <w:pPr>
        <w:rPr>
          <w:rFonts w:ascii="方正小标宋简体" w:eastAsia="方正小标宋简体"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pStyle w:val="6"/>
        <w:widowControl/>
        <w:spacing w:before="196" w:beforeAutospacing="0" w:after="196" w:afterAutospacing="0" w:line="540" w:lineRule="atLeast"/>
        <w:ind w:firstLine="420"/>
        <w:jc w:val="both"/>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both"/>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both"/>
        <w:rPr>
          <w:rFonts w:ascii="Arial" w:hAnsi="Arial" w:eastAsia="微软雅黑" w:cs="Arial"/>
          <w:color w:val="000000"/>
          <w:shd w:val="clear" w:color="auto" w:fill="FFFFFF"/>
        </w:rPr>
      </w:pPr>
    </w:p>
    <w:p>
      <w:pPr>
        <w:ind w:firstLine="646"/>
        <w:jc w:val="center"/>
        <w:rPr>
          <w:rFonts w:hint="eastAsia" w:ascii="黑体" w:hAnsi="黑体" w:eastAsia="黑体" w:cs="黑体"/>
          <w:b/>
          <w:sz w:val="44"/>
          <w:szCs w:val="44"/>
        </w:rPr>
      </w:pPr>
      <w:r>
        <w:rPr>
          <w:rFonts w:hint="eastAsia" w:ascii="黑体" w:hAnsi="黑体" w:eastAsia="黑体" w:cs="黑体"/>
          <w:b/>
          <w:sz w:val="44"/>
          <w:szCs w:val="44"/>
        </w:rPr>
        <w:t>目    录</w:t>
      </w:r>
    </w:p>
    <w:p>
      <w:pPr>
        <w:ind w:firstLine="645"/>
        <w:rPr>
          <w:rFonts w:ascii="仿宋_GB2312" w:eastAsia="仿宋_GB2312"/>
          <w:b/>
          <w:sz w:val="32"/>
          <w:szCs w:val="32"/>
        </w:rPr>
      </w:pPr>
    </w:p>
    <w:p>
      <w:pPr>
        <w:ind w:firstLine="645"/>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single"/>
        </w:rPr>
        <w:t>百色起义纪念碑园</w:t>
      </w:r>
      <w:r>
        <w:rPr>
          <w:rFonts w:hint="eastAsia" w:ascii="黑体" w:hAnsi="黑体" w:eastAsia="黑体"/>
          <w:sz w:val="32"/>
          <w:szCs w:val="32"/>
        </w:rPr>
        <w:t>概况</w:t>
      </w:r>
    </w:p>
    <w:p>
      <w:pPr>
        <w:ind w:firstLine="645"/>
        <w:rPr>
          <w:rFonts w:hint="eastAsia" w:ascii="仿宋" w:hAnsi="仿宋" w:eastAsia="仿宋" w:cs="仿宋"/>
          <w:sz w:val="32"/>
          <w:szCs w:val="32"/>
        </w:rPr>
      </w:pPr>
      <w:r>
        <w:rPr>
          <w:rFonts w:hint="eastAsia" w:ascii="仿宋" w:hAnsi="仿宋" w:eastAsia="仿宋" w:cs="仿宋"/>
          <w:sz w:val="32"/>
          <w:szCs w:val="32"/>
        </w:rPr>
        <w:t>一、主要职能</w:t>
      </w:r>
    </w:p>
    <w:p>
      <w:pPr>
        <w:ind w:firstLine="645"/>
        <w:rPr>
          <w:rFonts w:ascii="仿宋_GB2312" w:eastAsia="仿宋_GB2312"/>
          <w:sz w:val="32"/>
          <w:szCs w:val="32"/>
        </w:rPr>
      </w:pPr>
      <w:r>
        <w:rPr>
          <w:rFonts w:hint="eastAsia" w:ascii="仿宋" w:hAnsi="仿宋" w:eastAsia="仿宋" w:cs="仿宋"/>
          <w:sz w:val="32"/>
          <w:szCs w:val="32"/>
        </w:rPr>
        <w:t>二、部门决算单位构成</w:t>
      </w:r>
    </w:p>
    <w:p>
      <w:pPr>
        <w:ind w:firstLine="645"/>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single"/>
        </w:rPr>
        <w:t>百色起义纪念碑园</w:t>
      </w:r>
      <w:r>
        <w:rPr>
          <w:rFonts w:hint="eastAsia" w:ascii="黑体" w:hAnsi="黑体" w:eastAsia="黑体"/>
          <w:sz w:val="32"/>
          <w:szCs w:val="32"/>
        </w:rPr>
        <w:t>2022年度部门决算报表</w:t>
      </w:r>
    </w:p>
    <w:p>
      <w:pPr>
        <w:ind w:left="645"/>
        <w:rPr>
          <w:rFonts w:hint="eastAsia" w:ascii="仿宋" w:hAnsi="仿宋" w:eastAsia="仿宋" w:cs="仿宋"/>
          <w:sz w:val="32"/>
          <w:szCs w:val="32"/>
        </w:rPr>
      </w:pPr>
      <w:r>
        <w:rPr>
          <w:rFonts w:hint="eastAsia" w:ascii="仿宋" w:hAnsi="仿宋" w:eastAsia="仿宋" w:cs="仿宋"/>
          <w:sz w:val="32"/>
          <w:szCs w:val="32"/>
        </w:rPr>
        <w:t>表一：收入支出决算总表</w:t>
      </w:r>
    </w:p>
    <w:p>
      <w:pPr>
        <w:ind w:left="645"/>
        <w:rPr>
          <w:rFonts w:hint="eastAsia" w:ascii="仿宋" w:hAnsi="仿宋" w:eastAsia="仿宋" w:cs="仿宋"/>
          <w:sz w:val="32"/>
          <w:szCs w:val="32"/>
        </w:rPr>
      </w:pPr>
      <w:r>
        <w:rPr>
          <w:rFonts w:hint="eastAsia" w:ascii="仿宋" w:hAnsi="仿宋" w:eastAsia="仿宋" w:cs="仿宋"/>
          <w:sz w:val="32"/>
          <w:szCs w:val="32"/>
        </w:rPr>
        <w:t>表二：收入决算表</w:t>
      </w:r>
    </w:p>
    <w:p>
      <w:pPr>
        <w:ind w:left="645"/>
        <w:rPr>
          <w:rFonts w:hint="eastAsia" w:ascii="仿宋" w:hAnsi="仿宋" w:eastAsia="仿宋" w:cs="仿宋"/>
          <w:sz w:val="32"/>
          <w:szCs w:val="32"/>
        </w:rPr>
      </w:pPr>
      <w:r>
        <w:rPr>
          <w:rFonts w:hint="eastAsia" w:ascii="仿宋" w:hAnsi="仿宋" w:eastAsia="仿宋" w:cs="仿宋"/>
          <w:sz w:val="32"/>
          <w:szCs w:val="32"/>
        </w:rPr>
        <w:t>表三：支出决算表</w:t>
      </w:r>
    </w:p>
    <w:p>
      <w:pPr>
        <w:ind w:left="645"/>
        <w:rPr>
          <w:rFonts w:hint="eastAsia" w:ascii="仿宋" w:hAnsi="仿宋" w:eastAsia="仿宋" w:cs="仿宋"/>
          <w:sz w:val="32"/>
          <w:szCs w:val="32"/>
        </w:rPr>
      </w:pPr>
      <w:r>
        <w:rPr>
          <w:rFonts w:hint="eastAsia" w:ascii="仿宋" w:hAnsi="仿宋" w:eastAsia="仿宋" w:cs="仿宋"/>
          <w:sz w:val="32"/>
          <w:szCs w:val="32"/>
        </w:rPr>
        <w:t>表四：财政拨款收入支出决算总表</w:t>
      </w:r>
    </w:p>
    <w:p>
      <w:pPr>
        <w:ind w:left="645"/>
        <w:rPr>
          <w:rFonts w:hint="eastAsia" w:ascii="仿宋" w:hAnsi="仿宋" w:eastAsia="仿宋" w:cs="仿宋"/>
          <w:sz w:val="32"/>
          <w:szCs w:val="32"/>
        </w:rPr>
      </w:pPr>
      <w:r>
        <w:rPr>
          <w:rFonts w:hint="eastAsia" w:ascii="仿宋" w:hAnsi="仿宋" w:eastAsia="仿宋" w:cs="仿宋"/>
          <w:sz w:val="32"/>
          <w:szCs w:val="32"/>
        </w:rPr>
        <w:t>表五：一般公共预算财政拨款支出决算表</w:t>
      </w:r>
    </w:p>
    <w:p>
      <w:pPr>
        <w:ind w:left="645"/>
        <w:rPr>
          <w:rFonts w:hint="eastAsia" w:ascii="仿宋" w:hAnsi="仿宋" w:eastAsia="仿宋" w:cs="仿宋"/>
          <w:sz w:val="32"/>
          <w:szCs w:val="32"/>
        </w:rPr>
      </w:pPr>
      <w:r>
        <w:rPr>
          <w:rFonts w:hint="eastAsia" w:ascii="仿宋" w:hAnsi="仿宋" w:eastAsia="仿宋" w:cs="仿宋"/>
          <w:sz w:val="32"/>
          <w:szCs w:val="32"/>
        </w:rPr>
        <w:t>表六：一般公共预算财政拨款基本支出决算明细表</w:t>
      </w:r>
    </w:p>
    <w:p>
      <w:pPr>
        <w:ind w:left="645"/>
        <w:rPr>
          <w:rFonts w:hint="eastAsia" w:ascii="仿宋" w:hAnsi="仿宋" w:eastAsia="仿宋" w:cs="仿宋"/>
          <w:sz w:val="32"/>
          <w:szCs w:val="32"/>
        </w:rPr>
      </w:pPr>
      <w:r>
        <w:rPr>
          <w:rFonts w:hint="eastAsia" w:ascii="仿宋" w:hAnsi="仿宋" w:eastAsia="仿宋" w:cs="仿宋"/>
          <w:sz w:val="32"/>
          <w:szCs w:val="32"/>
        </w:rPr>
        <w:t>表七：政府性基金预算财政拨款收入支出决算表</w:t>
      </w:r>
    </w:p>
    <w:p>
      <w:pPr>
        <w:ind w:left="645"/>
        <w:rPr>
          <w:rFonts w:hint="eastAsia" w:ascii="仿宋" w:hAnsi="仿宋" w:eastAsia="仿宋" w:cs="仿宋"/>
          <w:sz w:val="32"/>
          <w:szCs w:val="32"/>
        </w:rPr>
      </w:pPr>
      <w:r>
        <w:rPr>
          <w:rFonts w:hint="eastAsia" w:ascii="仿宋" w:hAnsi="仿宋" w:eastAsia="仿宋" w:cs="仿宋"/>
          <w:sz w:val="32"/>
          <w:szCs w:val="32"/>
        </w:rPr>
        <w:t>表八：国有资本经营预算财政拨款支出决算表</w:t>
      </w:r>
    </w:p>
    <w:p>
      <w:pPr>
        <w:ind w:left="645"/>
        <w:rPr>
          <w:rFonts w:hint="eastAsia" w:ascii="仿宋" w:hAnsi="仿宋" w:eastAsia="仿宋" w:cs="仿宋"/>
          <w:sz w:val="32"/>
          <w:szCs w:val="32"/>
        </w:rPr>
      </w:pPr>
      <w:r>
        <w:rPr>
          <w:rFonts w:hint="eastAsia" w:ascii="仿宋" w:hAnsi="仿宋" w:eastAsia="仿宋" w:cs="仿宋"/>
          <w:sz w:val="32"/>
          <w:szCs w:val="32"/>
        </w:rPr>
        <w:t>表九：一般公共预算财政拨款安排的“三公”经费支出决算表</w:t>
      </w:r>
    </w:p>
    <w:p>
      <w:pPr>
        <w:ind w:firstLine="645"/>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single"/>
        </w:rPr>
        <w:t>百色起义纪念碑园</w:t>
      </w:r>
      <w:r>
        <w:rPr>
          <w:rFonts w:hint="eastAsia" w:ascii="黑体" w:hAnsi="黑体" w:eastAsia="黑体"/>
          <w:sz w:val="32"/>
          <w:szCs w:val="32"/>
        </w:rPr>
        <w:t>2022年度部门决算情况说明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一、2022年度收入支出决算总体情况。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二、2022年度</w:t>
      </w:r>
      <w:r>
        <w:rPr>
          <w:rFonts w:hint="eastAsia" w:ascii="仿宋" w:hAnsi="仿宋" w:eastAsia="仿宋" w:cs="仿宋"/>
          <w:sz w:val="32"/>
          <w:szCs w:val="32"/>
        </w:rPr>
        <w:t>一般</w:t>
      </w:r>
      <w:r>
        <w:rPr>
          <w:rFonts w:hint="eastAsia" w:ascii="仿宋" w:hAnsi="仿宋" w:eastAsia="仿宋" w:cs="仿宋"/>
          <w:kern w:val="0"/>
          <w:sz w:val="32"/>
          <w:szCs w:val="32"/>
        </w:rPr>
        <w:t>公共预算财政拨款支出决算情况。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三、2022年度一般公共预算财政拨款基本支出决算情况说明。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四、2022年度政府性基金支出决算情况。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五、2022年度国有资本经营预算支出决算情况。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六、</w:t>
      </w:r>
      <w:r>
        <w:rPr>
          <w:rFonts w:hint="eastAsia" w:ascii="仿宋" w:hAnsi="仿宋" w:eastAsia="仿宋" w:cs="仿宋"/>
          <w:sz w:val="32"/>
          <w:szCs w:val="32"/>
        </w:rPr>
        <w:t>一般</w:t>
      </w:r>
      <w:r>
        <w:rPr>
          <w:rFonts w:hint="eastAsia" w:ascii="仿宋" w:hAnsi="仿宋" w:eastAsia="仿宋" w:cs="仿宋"/>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七、其他重要事项情况说明。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八、预算绩效管理工作开展情况。</w:t>
      </w:r>
    </w:p>
    <w:p>
      <w:pPr>
        <w:ind w:firstLine="645"/>
        <w:rPr>
          <w:rFonts w:ascii="黑体" w:hAnsi="黑体" w:eastAsia="黑体"/>
          <w:sz w:val="32"/>
          <w:szCs w:val="32"/>
        </w:rPr>
      </w:pPr>
      <w:r>
        <w:rPr>
          <w:rFonts w:ascii="黑体" w:hAnsi="黑体" w:eastAsia="黑体"/>
          <w:sz w:val="32"/>
          <w:szCs w:val="32"/>
        </w:rPr>
        <w:t>第四部分:名词解释</w:t>
      </w: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ind w:firstLine="646"/>
        <w:jc w:val="center"/>
        <w:rPr>
          <w:rFonts w:ascii="黑体" w:hAnsi="黑体" w:eastAsia="黑体"/>
          <w:sz w:val="32"/>
          <w:szCs w:val="32"/>
          <w:u w:val="single"/>
        </w:rPr>
      </w:pPr>
      <w:r>
        <w:rPr>
          <w:rFonts w:hint="eastAsia" w:ascii="黑体" w:hAnsi="黑体" w:eastAsia="黑体"/>
          <w:sz w:val="32"/>
          <w:szCs w:val="32"/>
        </w:rPr>
        <w:t>第一部分：</w:t>
      </w:r>
      <w:r>
        <w:rPr>
          <w:rFonts w:hint="eastAsia" w:ascii="黑体" w:hAnsi="黑体" w:eastAsia="黑体"/>
          <w:bCs/>
          <w:color w:val="000000"/>
          <w:sz w:val="32"/>
          <w:szCs w:val="32"/>
          <w:u w:val="single"/>
        </w:rPr>
        <w:t>百色起义纪念碑园</w:t>
      </w:r>
      <w:r>
        <w:rPr>
          <w:rFonts w:hint="eastAsia" w:ascii="黑体" w:hAnsi="黑体" w:eastAsia="黑体"/>
          <w:sz w:val="32"/>
          <w:szCs w:val="32"/>
          <w:u w:val="single"/>
        </w:rPr>
        <w:t>概况</w:t>
      </w:r>
    </w:p>
    <w:p>
      <w:pPr>
        <w:ind w:firstLine="646"/>
        <w:rPr>
          <w:rFonts w:ascii="黑体" w:hAnsi="黑体" w:eastAsia="黑体"/>
          <w:sz w:val="32"/>
          <w:szCs w:val="32"/>
        </w:rPr>
      </w:pPr>
      <w:r>
        <w:rPr>
          <w:rFonts w:hint="eastAsia" w:ascii="黑体" w:hAnsi="黑体" w:eastAsia="黑体"/>
          <w:sz w:val="32"/>
          <w:szCs w:val="32"/>
        </w:rPr>
        <w:t>一、主要职能</w:t>
      </w:r>
    </w:p>
    <w:p>
      <w:pPr>
        <w:ind w:firstLine="600" w:firstLineChars="200"/>
        <w:jc w:val="left"/>
        <w:rPr>
          <w:rFonts w:hint="eastAsia" w:ascii="仿宋" w:hAnsi="仿宋" w:eastAsia="仿宋" w:cs="仿宋"/>
          <w:color w:val="FF0000"/>
          <w:sz w:val="32"/>
          <w:szCs w:val="32"/>
          <w:highlight w:val="none"/>
        </w:rPr>
      </w:pPr>
      <w:r>
        <w:rPr>
          <w:rFonts w:hint="eastAsia" w:ascii="仿宋" w:hAnsi="仿宋" w:eastAsia="仿宋"/>
          <w:sz w:val="30"/>
          <w:szCs w:val="30"/>
        </w:rPr>
        <w:t>百色起义纪念碑园为百色起义纪念园管理中心主管的二级预算事业单位，主要职责是：纪念先烈，教育人民。负责百色起义纪念碑园和78名外省籍革命烈士公墓的日常管理；搞好烈士纪念设施维护、园林建设和环境美化；纪念缅怀、红色研学活动的组织、接待、服务及相关工作。</w:t>
      </w:r>
    </w:p>
    <w:p>
      <w:pPr>
        <w:ind w:firstLine="646"/>
        <w:rPr>
          <w:rFonts w:ascii="黑体" w:hAnsi="黑体" w:eastAsia="黑体"/>
          <w:sz w:val="32"/>
          <w:szCs w:val="32"/>
        </w:rPr>
      </w:pPr>
      <w:r>
        <w:rPr>
          <w:rFonts w:hint="eastAsia" w:ascii="黑体" w:hAnsi="黑体" w:eastAsia="黑体"/>
          <w:sz w:val="32"/>
          <w:szCs w:val="32"/>
        </w:rPr>
        <w:t>二、部门决算单位构成</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（一）部门机构设置：</w:t>
      </w:r>
    </w:p>
    <w:p>
      <w:pPr>
        <w:spacing w:line="600" w:lineRule="exact"/>
        <w:ind w:firstLine="600" w:firstLineChars="200"/>
        <w:rPr>
          <w:rFonts w:hint="eastAsia" w:ascii="仿宋_GB2312" w:eastAsia="仿宋_GB2312"/>
          <w:color w:val="000000"/>
          <w:sz w:val="32"/>
          <w:szCs w:val="32"/>
          <w:lang w:eastAsia="zh-CN"/>
        </w:rPr>
      </w:pPr>
      <w:r>
        <w:rPr>
          <w:rFonts w:hint="eastAsia" w:ascii="仿宋" w:hAnsi="仿宋" w:eastAsia="仿宋" w:cs="仿宋"/>
          <w:color w:val="000000"/>
          <w:sz w:val="30"/>
          <w:szCs w:val="30"/>
          <w:shd w:val="clear" w:color="auto" w:fill="FFFFFF"/>
          <w:lang w:eastAsia="zh-CN"/>
        </w:rPr>
        <w:t>本单位内设股室有办公室、财务室、社教部、园容部，以上内设股室均纳入本单位决算。本单位</w:t>
      </w:r>
      <w:r>
        <w:rPr>
          <w:rFonts w:hint="eastAsia" w:ascii="仿宋" w:hAnsi="仿宋" w:eastAsia="仿宋"/>
          <w:sz w:val="32"/>
          <w:szCs w:val="32"/>
        </w:rPr>
        <w:t>人员编制</w:t>
      </w:r>
      <w:r>
        <w:rPr>
          <w:rFonts w:hint="eastAsia" w:ascii="仿宋" w:hAnsi="仿宋" w:eastAsia="仿宋"/>
          <w:sz w:val="32"/>
          <w:szCs w:val="32"/>
          <w:lang w:val="en-US" w:eastAsia="zh-CN"/>
        </w:rPr>
        <w:t>5名</w:t>
      </w:r>
      <w:r>
        <w:rPr>
          <w:rFonts w:hint="eastAsia" w:ascii="仿宋" w:hAnsi="仿宋" w:eastAsia="仿宋"/>
          <w:sz w:val="32"/>
          <w:szCs w:val="32"/>
        </w:rPr>
        <w:t>，</w:t>
      </w:r>
      <w:r>
        <w:rPr>
          <w:rFonts w:hint="eastAsia" w:ascii="仿宋" w:hAnsi="仿宋" w:eastAsia="仿宋"/>
          <w:sz w:val="32"/>
          <w:szCs w:val="32"/>
          <w:lang w:eastAsia="zh-CN"/>
        </w:rPr>
        <w:t>后勤控制数</w:t>
      </w:r>
      <w:r>
        <w:rPr>
          <w:rFonts w:hint="eastAsia" w:ascii="仿宋" w:hAnsi="仿宋" w:eastAsia="仿宋"/>
          <w:sz w:val="32"/>
          <w:szCs w:val="32"/>
          <w:lang w:val="en-US" w:eastAsia="zh-CN"/>
        </w:rPr>
        <w:t>1名，</w:t>
      </w:r>
      <w:r>
        <w:rPr>
          <w:rFonts w:hint="eastAsia" w:ascii="仿宋" w:hAnsi="仿宋" w:eastAsia="仿宋"/>
          <w:sz w:val="32"/>
          <w:szCs w:val="32"/>
        </w:rPr>
        <w:t>实有在职人员5人，退休人员</w:t>
      </w:r>
      <w:r>
        <w:rPr>
          <w:rFonts w:hint="eastAsia" w:ascii="仿宋" w:hAnsi="仿宋" w:eastAsia="仿宋"/>
          <w:sz w:val="32"/>
          <w:szCs w:val="32"/>
          <w:lang w:val="en-US" w:eastAsia="zh-CN"/>
        </w:rPr>
        <w:t>4</w:t>
      </w:r>
      <w:r>
        <w:rPr>
          <w:rFonts w:hint="eastAsia" w:ascii="仿宋" w:hAnsi="仿宋" w:eastAsia="仿宋"/>
          <w:sz w:val="32"/>
          <w:szCs w:val="32"/>
        </w:rPr>
        <w:t>人，聘用人员</w:t>
      </w:r>
      <w:r>
        <w:rPr>
          <w:rFonts w:hint="eastAsia" w:ascii="仿宋" w:hAnsi="仿宋" w:eastAsia="仿宋"/>
          <w:sz w:val="32"/>
          <w:szCs w:val="32"/>
          <w:lang w:val="en-US" w:eastAsia="zh-CN"/>
        </w:rPr>
        <w:t>6</w:t>
      </w:r>
      <w:r>
        <w:rPr>
          <w:rFonts w:hint="eastAsia" w:ascii="仿宋" w:hAnsi="仿宋" w:eastAsia="仿宋"/>
          <w:sz w:val="32"/>
          <w:szCs w:val="32"/>
        </w:rPr>
        <w:t>人</w:t>
      </w:r>
      <w:r>
        <w:rPr>
          <w:rFonts w:hint="eastAsia" w:ascii="仿宋" w:hAnsi="仿宋" w:eastAsia="仿宋"/>
          <w:sz w:val="32"/>
          <w:szCs w:val="32"/>
          <w:lang w:eastAsia="zh-CN"/>
        </w:rPr>
        <w:t>，公益性岗位人员</w:t>
      </w:r>
      <w:r>
        <w:rPr>
          <w:rFonts w:hint="eastAsia" w:ascii="仿宋" w:hAnsi="仿宋" w:eastAsia="仿宋"/>
          <w:sz w:val="32"/>
          <w:szCs w:val="32"/>
          <w:lang w:val="en-US" w:eastAsia="zh-CN"/>
        </w:rPr>
        <w:t>3人</w:t>
      </w:r>
      <w:r>
        <w:rPr>
          <w:rFonts w:hint="eastAsia" w:ascii="仿宋" w:hAnsi="仿宋" w:eastAsia="仿宋"/>
          <w:sz w:val="32"/>
          <w:szCs w:val="32"/>
        </w:rPr>
        <w:t>。</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（二）部门决算单位构成：</w:t>
      </w:r>
    </w:p>
    <w:p>
      <w:pPr>
        <w:spacing w:line="600" w:lineRule="exact"/>
        <w:ind w:firstLine="640" w:firstLineChars="200"/>
        <w:rPr>
          <w:rFonts w:hint="eastAsia" w:ascii="仿宋" w:hAnsi="仿宋" w:eastAsia="仿宋_GB2312"/>
          <w:sz w:val="32"/>
          <w:szCs w:val="32"/>
          <w:lang w:eastAsia="zh-CN"/>
        </w:rPr>
      </w:pPr>
      <w:r>
        <w:rPr>
          <w:rFonts w:hint="eastAsia" w:ascii="仿宋_GB2312" w:eastAsia="仿宋_GB2312"/>
          <w:color w:val="000000"/>
          <w:sz w:val="32"/>
          <w:szCs w:val="32"/>
        </w:rPr>
        <w:t>按照部门决算编报要求，纳入我</w:t>
      </w:r>
      <w:r>
        <w:rPr>
          <w:rFonts w:hint="eastAsia" w:ascii="仿宋_GB2312" w:eastAsia="仿宋_GB2312"/>
          <w:color w:val="000000"/>
          <w:sz w:val="32"/>
          <w:szCs w:val="32"/>
          <w:lang w:eastAsia="zh-CN"/>
        </w:rPr>
        <w:t>单位（百色起义纪念碑园）</w:t>
      </w:r>
      <w:r>
        <w:rPr>
          <w:rFonts w:hint="eastAsia" w:ascii="仿宋_GB2312" w:eastAsia="仿宋_GB2312"/>
          <w:color w:val="000000"/>
          <w:sz w:val="32"/>
          <w:szCs w:val="32"/>
          <w:lang w:val="en-US" w:eastAsia="zh-CN"/>
        </w:rPr>
        <w:t>2022</w:t>
      </w:r>
      <w:r>
        <w:rPr>
          <w:rFonts w:hint="eastAsia" w:ascii="仿宋_GB2312" w:eastAsia="仿宋_GB2312"/>
          <w:color w:val="000000"/>
          <w:sz w:val="32"/>
          <w:szCs w:val="32"/>
        </w:rPr>
        <w:t>年部门决算编报范围的单位共</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个，包括本</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和下属</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个预算单位</w:t>
      </w:r>
      <w:r>
        <w:rPr>
          <w:rFonts w:hint="eastAsia" w:ascii="仿宋_GB2312" w:eastAsia="仿宋_GB2312"/>
          <w:color w:val="000000"/>
          <w:sz w:val="32"/>
          <w:szCs w:val="32"/>
          <w:lang w:eastAsia="zh-CN"/>
        </w:rPr>
        <w:t>。</w:t>
      </w:r>
      <w:r>
        <w:rPr>
          <w:rFonts w:hint="eastAsia" w:ascii="仿宋_GB2312" w:eastAsia="仿宋_GB2312"/>
          <w:sz w:val="32"/>
          <w:szCs w:val="32"/>
          <w:lang w:val="en-US" w:eastAsia="zh-CN"/>
        </w:rPr>
        <w:t>本单位没有下属单位，部门决算为本单位决算。</w:t>
      </w:r>
      <w:r>
        <w:rPr>
          <w:rFonts w:hint="eastAsia" w:ascii="仿宋" w:hAnsi="仿宋" w:eastAsia="仿宋" w:cs="仿宋"/>
          <w:color w:val="000000"/>
          <w:sz w:val="30"/>
          <w:szCs w:val="30"/>
          <w:shd w:val="clear" w:color="auto" w:fill="FFFFFF"/>
          <w:lang w:eastAsia="zh-CN"/>
        </w:rPr>
        <w:t>本单位</w:t>
      </w:r>
      <w:r>
        <w:rPr>
          <w:rFonts w:hint="eastAsia" w:ascii="仿宋" w:hAnsi="仿宋" w:eastAsia="仿宋" w:cs="仿宋"/>
          <w:color w:val="000000"/>
          <w:sz w:val="30"/>
          <w:szCs w:val="30"/>
          <w:shd w:val="clear" w:color="auto" w:fill="FFFFFF"/>
        </w:rPr>
        <w:t>作为独立法人单位，为正科级财政全额拨款公益一类事业单位</w:t>
      </w:r>
      <w:r>
        <w:rPr>
          <w:rFonts w:hint="eastAsia" w:ascii="仿宋" w:hAnsi="仿宋" w:eastAsia="仿宋" w:cs="仿宋"/>
          <w:color w:val="000000"/>
          <w:sz w:val="30"/>
          <w:szCs w:val="30"/>
          <w:shd w:val="clear" w:color="auto" w:fill="FFFFFF"/>
          <w:lang w:eastAsia="zh-CN"/>
        </w:rPr>
        <w:t>，</w:t>
      </w:r>
      <w:r>
        <w:rPr>
          <w:rFonts w:hint="eastAsia" w:ascii="仿宋_GB2312" w:eastAsia="仿宋_GB2312"/>
          <w:color w:val="000000"/>
          <w:sz w:val="32"/>
          <w:szCs w:val="32"/>
        </w:rPr>
        <w:t>单独编制本</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决算</w:t>
      </w:r>
      <w:r>
        <w:rPr>
          <w:rFonts w:hint="eastAsia" w:ascii="仿宋_GB2312" w:eastAsia="仿宋_GB2312"/>
          <w:color w:val="000000"/>
          <w:sz w:val="32"/>
          <w:szCs w:val="32"/>
          <w:lang w:eastAsia="zh-CN"/>
        </w:rPr>
        <w:t>。</w:t>
      </w:r>
    </w:p>
    <w:p>
      <w:pPr>
        <w:sectPr>
          <w:pgSz w:w="11906" w:h="16838"/>
          <w:pgMar w:top="1440" w:right="1800" w:bottom="1440" w:left="1800" w:header="851" w:footer="992" w:gutter="0"/>
          <w:cols w:space="425" w:num="1"/>
          <w:docGrid w:type="lines" w:linePitch="312" w:charSpace="0"/>
        </w:sectPr>
      </w:pPr>
    </w:p>
    <w:p>
      <w:pPr>
        <w:jc w:val="both"/>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single"/>
        </w:rPr>
        <w:t>百色起义纪念碑园</w:t>
      </w:r>
      <w:r>
        <w:rPr>
          <w:rFonts w:hint="eastAsia" w:ascii="黑体" w:hAnsi="黑体" w:eastAsia="黑体"/>
          <w:sz w:val="32"/>
          <w:szCs w:val="32"/>
        </w:rPr>
        <w:t xml:space="preserve"> 2022年度部门决算报表</w:t>
      </w:r>
    </w:p>
    <w:tbl>
      <w:tblPr>
        <w:tblStyle w:val="7"/>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百色起义纪念碑园</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191.14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11.39</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0.02</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204.07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212.68</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212.68</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212.68</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212.68</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7"/>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百色起义纪念碑园</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212.68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191.14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10.14</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11.39</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0.02</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204.07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182.52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11.39</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0.02</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16.27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16.27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事业单位离退休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7.93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7.93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机关事业单位职业年金缴费支出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抚恤</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187.79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166.25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11.39</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0.02</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烈士纪念设施管理维护</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其他优抚支出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157.79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136.25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11.39</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0.02</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卫生健康支出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7"/>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百色起义纪念碑园</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212.68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86.77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125.91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204.07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78.16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125.91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16.27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事业单位离退休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4.56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7.93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7.93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机关事业单位职业年金缴费支出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3.78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抚恤</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187.79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61.89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125.91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烈士纪念设施管理维护</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其他优抚支出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157.79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61.89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95.91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6.21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6.21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6.21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7"/>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百色起义纪念碑园</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191.14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182.52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182.52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6.21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191.14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191.14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191.14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191.14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191.14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191.14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7"/>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百色起义纪念碑园</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191.14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86.77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104.36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182.52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78.16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104.36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16.27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16.27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事业单位离退休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4.56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4.56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7.93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7.93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机关事业单位职业年金缴费支出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3.78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3.78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抚恤</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166.25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61.89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104.36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2080808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烈士纪念设施管理维护</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2080899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其他优抚支出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136.25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61.89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74.36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卫生健康支出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21011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2101102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6.21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6.21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6.21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6.21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6.21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6.21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7"/>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百色起义纪念碑园</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76.72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5.49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19.52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0.81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13.05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21.06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0.85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7.93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3.78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0.18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0.24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6.21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4.56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4.56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0.25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81.28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5.49</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w:t>
      </w:r>
      <w:r>
        <w:rPr>
          <w:rFonts w:hint="eastAsia" w:ascii="仿宋" w:hAnsi="仿宋" w:eastAsia="仿宋" w:cs="仿宋"/>
          <w:color w:val="000000" w:themeColor="text1"/>
          <w:sz w:val="24"/>
          <w:highlight w:val="none"/>
          <w:lang w:val="en-US" w:eastAsia="zh-CN"/>
          <w14:textFill>
            <w14:solidFill>
              <w14:schemeClr w14:val="tx1"/>
            </w14:solidFill>
          </w14:textFill>
        </w:rPr>
        <w:t>七</w:t>
      </w:r>
      <w:r>
        <w:rPr>
          <w:rFonts w:hint="eastAsia" w:ascii="仿宋" w:hAnsi="仿宋" w:eastAsia="仿宋" w:cs="仿宋"/>
          <w:color w:val="000000" w:themeColor="text1"/>
          <w:sz w:val="24"/>
          <w:highlight w:val="none"/>
          <w14:textFill>
            <w14:solidFill>
              <w14:schemeClr w14:val="tx1"/>
            </w14:solidFill>
          </w14:textFill>
        </w:rPr>
        <w:t>：政府性基金预算财政拨款收入支出决算表</w:t>
      </w:r>
    </w:p>
    <w:p>
      <w:pPr>
        <w:jc w:val="left"/>
        <w:rPr>
          <w:rFonts w:hint="eastAsia" w:ascii="仿宋" w:hAnsi="仿宋" w:eastAsia="仿宋" w:cs="仿宋"/>
          <w:sz w:val="24"/>
          <w:highlight w:val="none"/>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公开08表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百色起义纪念碑园</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000000" w:themeColor="text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公开09表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百色起义纪念碑园</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7"/>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公开07表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百色起义纪念碑园</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年度没有一般公共预算财政拨款“三公”经费收入，也没有一般公共预算财政拨款“三公”经费安排的支出，故本表无数据。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pStyle w:val="6"/>
        <w:widowControl/>
        <w:spacing w:before="450" w:beforeAutospacing="0" w:after="450" w:afterAutospacing="0" w:line="420" w:lineRule="atLeast"/>
        <w:jc w:val="center"/>
        <w:rPr>
          <w:color w:val="000000"/>
        </w:rPr>
      </w:pPr>
      <w:r>
        <w:rPr>
          <w:rFonts w:hint="eastAsia" w:ascii="黑体" w:hAnsi="宋体" w:eastAsia="黑体" w:cs="黑体"/>
          <w:color w:val="000000"/>
          <w:sz w:val="36"/>
          <w:szCs w:val="36"/>
          <w:shd w:val="clear" w:color="auto" w:fill="FFFFFF"/>
        </w:rPr>
        <w:t>第三部分：</w:t>
      </w:r>
      <w:r>
        <w:rPr>
          <w:rFonts w:hint="eastAsia" w:ascii="黑体" w:hAnsi="黑体" w:eastAsia="黑体"/>
          <w:bCs/>
          <w:color w:val="000000"/>
          <w:sz w:val="32"/>
          <w:szCs w:val="32"/>
          <w:u w:val="single"/>
        </w:rPr>
        <w:t>百色起义纪念碑园</w:t>
      </w:r>
      <w:r>
        <w:rPr>
          <w:rFonts w:hint="eastAsia" w:ascii="黑体" w:hAnsi="宋体" w:eastAsia="黑体" w:cs="黑体"/>
          <w:color w:val="000000"/>
          <w:sz w:val="36"/>
          <w:szCs w:val="36"/>
          <w:shd w:val="clear" w:color="auto" w:fill="FFFFFF"/>
        </w:rPr>
        <w:t>2022年度部门决算情况说明</w:t>
      </w:r>
    </w:p>
    <w:p>
      <w:pPr>
        <w:pStyle w:val="6"/>
        <w:widowControl/>
        <w:spacing w:before="450" w:beforeAutospacing="0" w:after="450" w:afterAutospacing="0" w:line="420" w:lineRule="atLeast"/>
        <w:ind w:firstLine="645"/>
        <w:rPr>
          <w:color w:val="000000"/>
          <w:sz w:val="32"/>
          <w:szCs w:val="32"/>
        </w:rPr>
      </w:pPr>
      <w:r>
        <w:rPr>
          <w:rFonts w:hint="eastAsia" w:ascii="黑体" w:hAnsi="宋体" w:eastAsia="黑体" w:cs="黑体"/>
          <w:color w:val="000000"/>
          <w:sz w:val="32"/>
          <w:szCs w:val="32"/>
          <w:shd w:val="clear" w:color="auto" w:fill="FFFFFF"/>
        </w:rPr>
        <w:t>一、2022年度收入支出决算总体情况</w:t>
      </w:r>
    </w:p>
    <w:p>
      <w:pPr>
        <w:pStyle w:val="6"/>
        <w:widowControl/>
        <w:spacing w:before="450" w:beforeAutospacing="0" w:after="450" w:afterAutospacing="0" w:line="420" w:lineRule="atLeast"/>
        <w:ind w:left="309" w:leftChars="147" w:firstLine="641" w:firstLineChars="207"/>
        <w:rPr>
          <w:rFonts w:hint="eastAsia" w:ascii="仿宋" w:hAnsi="仿宋" w:eastAsia="仿宋" w:cs="仿宋"/>
          <w:color w:val="000000"/>
          <w:sz w:val="31"/>
          <w:szCs w:val="31"/>
        </w:rPr>
      </w:pPr>
      <w:r>
        <w:rPr>
          <w:rFonts w:hint="eastAsia" w:ascii="仿宋" w:hAnsi="仿宋" w:eastAsia="仿宋" w:cs="仿宋"/>
          <w:color w:val="000000"/>
          <w:sz w:val="31"/>
          <w:szCs w:val="31"/>
          <w:shd w:val="clear" w:color="auto" w:fill="FFFFFF"/>
        </w:rPr>
        <w:t xml:space="preserve">（一）本部门2022年度总收入 </w:t>
      </w:r>
      <w:r>
        <w:rPr>
          <w:rFonts w:hint="eastAsia" w:ascii="仿宋" w:hAnsi="仿宋" w:eastAsia="仿宋" w:cs="仿宋"/>
          <w:sz w:val="31"/>
          <w:szCs w:val="31"/>
        </w:rPr>
        <w:t>212.68</w:t>
      </w:r>
      <w:r>
        <w:rPr>
          <w:rFonts w:ascii="仿宋" w:hAnsi="仿宋" w:eastAsia="仿宋" w:cs="仿宋"/>
          <w:sz w:val="31"/>
          <w:u w:color="auto"/>
        </w:rPr>
        <w:t>万元（其中本年收入  212.68万元），较2021年度决算数221.61万元， 减少8.93万元，下降4.03%。收入具体情况如下</w:t>
      </w:r>
      <w:r>
        <w:rPr>
          <w:rFonts w:hint="eastAsia" w:ascii="仿宋" w:hAnsi="仿宋" w:eastAsia="仿宋" w:cs="仿宋"/>
          <w:color w:val="000000"/>
          <w:sz w:val="31"/>
          <w:szCs w:val="31"/>
          <w:shd w:val="clear" w:color="auto" w:fill="FFFFFF"/>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highlight w:val="none"/>
          <w:lang w:val="en-US"/>
        </w:rPr>
      </w:pPr>
      <w:r>
        <w:rPr>
          <w:rFonts w:hint="eastAsia" w:ascii="仿宋" w:hAnsi="仿宋" w:eastAsia="仿宋" w:cs="仿宋"/>
          <w:color w:val="000000"/>
          <w:sz w:val="31"/>
          <w:szCs w:val="31"/>
          <w:shd w:val="clear" w:color="auto" w:fill="FFFFFF"/>
        </w:rPr>
        <w:t xml:space="preserve">1.一般公共预算财政拨款收入 </w:t>
      </w:r>
      <w:r>
        <w:rPr>
          <w:rFonts w:hint="eastAsia" w:ascii="仿宋" w:hAnsi="仿宋" w:eastAsia="仿宋" w:cs="仿宋"/>
          <w:sz w:val="31"/>
          <w:szCs w:val="31"/>
        </w:rPr>
        <w:t>191.14</w:t>
      </w:r>
      <w:r>
        <w:rPr>
          <w:rFonts w:ascii="仿宋" w:hAnsi="仿宋" w:eastAsia="仿宋" w:cs="仿宋"/>
          <w:sz w:val="31"/>
          <w:u w:color="auto"/>
        </w:rPr>
        <w:t>万元，为百色本级财政当年拨付的资金。较2021年度决算数 198.44万元，减少7.30万元，下降3.68%，</w:t>
      </w:r>
      <w:r>
        <w:rPr>
          <w:rFonts w:hint="eastAsia" w:ascii="仿宋" w:hAnsi="仿宋" w:eastAsia="仿宋" w:cs="仿宋"/>
          <w:color w:val="auto"/>
          <w:kern w:val="2"/>
          <w:sz w:val="31"/>
          <w:szCs w:val="31"/>
          <w:highlight w:val="none"/>
          <w:lang w:val="en-US" w:eastAsia="zh-CN" w:bidi="ar"/>
        </w:rPr>
        <w:t>主要原因：经费压减。</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eastAsia="zh-CN"/>
        </w:rPr>
      </w:pPr>
      <w:r>
        <w:rPr>
          <w:rFonts w:hint="eastAsia" w:ascii="仿宋" w:hAnsi="仿宋" w:eastAsia="仿宋" w:cs="仿宋"/>
          <w:color w:val="000000"/>
          <w:sz w:val="31"/>
          <w:szCs w:val="31"/>
          <w:shd w:val="clear" w:color="auto" w:fill="FFFFFF"/>
        </w:rPr>
        <w:t>2.</w:t>
      </w:r>
      <w:r>
        <w:rPr>
          <w:rFonts w:hint="eastAsia" w:ascii="仿宋" w:hAnsi="仿宋" w:eastAsia="仿宋" w:cs="仿宋"/>
          <w:sz w:val="31"/>
          <w:szCs w:val="31"/>
        </w:rPr>
        <w:t xml:space="preserve">政府性基金预算财政拨款收入 </w:t>
      </w:r>
      <w:r>
        <w:rPr>
          <w:rFonts w:ascii="仿宋" w:hAnsi="仿宋" w:eastAsia="仿宋" w:cs="仿宋"/>
          <w:sz w:val="31"/>
          <w:u w:color="auto"/>
        </w:rPr>
        <w:t>0.00万元，为百色本级财政当年拨付的资金。较2021年度决算数 0.00万元，增加0.00万元，增长0%，</w:t>
      </w:r>
      <w:r>
        <w:rPr>
          <w:rFonts w:hint="eastAsia" w:ascii="仿宋" w:hAnsi="仿宋" w:eastAsia="仿宋" w:cs="仿宋"/>
          <w:color w:val="auto"/>
          <w:kern w:val="2"/>
          <w:sz w:val="31"/>
          <w:szCs w:val="31"/>
          <w:highlight w:val="none"/>
          <w:lang w:val="en-US" w:eastAsia="zh-CN" w:bidi="ar"/>
        </w:rPr>
        <w:t>主要原因：本部门2022年度没有</w:t>
      </w:r>
      <w:r>
        <w:rPr>
          <w:rFonts w:hint="eastAsia" w:ascii="仿宋" w:hAnsi="仿宋" w:eastAsia="仿宋" w:cs="仿宋"/>
          <w:sz w:val="31"/>
          <w:szCs w:val="31"/>
        </w:rPr>
        <w:t>政府性基金预算财政拨款收入</w:t>
      </w:r>
      <w:r>
        <w:rPr>
          <w:rFonts w:hint="eastAsia" w:ascii="仿宋" w:hAnsi="仿宋" w:eastAsia="仿宋" w:cs="仿宋"/>
          <w:sz w:val="31"/>
          <w:szCs w:val="31"/>
          <w:lang w:eastAsia="zh-CN"/>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lang w:eastAsia="zh-CN"/>
        </w:rPr>
      </w:pPr>
      <w:r>
        <w:rPr>
          <w:rFonts w:hint="eastAsia" w:ascii="仿宋" w:hAnsi="仿宋" w:eastAsia="仿宋" w:cs="仿宋"/>
          <w:color w:val="000000"/>
          <w:sz w:val="31"/>
          <w:szCs w:val="31"/>
          <w:shd w:val="clear" w:color="auto" w:fill="FFFFFF"/>
        </w:rPr>
        <w:t>3.</w:t>
      </w:r>
      <w:r>
        <w:rPr>
          <w:rFonts w:hint="eastAsia" w:ascii="仿宋" w:hAnsi="仿宋" w:eastAsia="仿宋" w:cs="仿宋"/>
          <w:sz w:val="31"/>
          <w:szCs w:val="31"/>
        </w:rPr>
        <w:t xml:space="preserve">国有资本经营预算财政拨款收入 </w:t>
      </w:r>
      <w:r>
        <w:rPr>
          <w:rFonts w:ascii="仿宋" w:hAnsi="仿宋" w:eastAsia="仿宋" w:cs="仿宋"/>
          <w:sz w:val="31"/>
          <w:u w:color="auto"/>
        </w:rPr>
        <w:t>0.00万元，为百色本级财政当年拨付的资金。较2021年度决算数0.00万元，增加0.00 万元，增长0%，</w:t>
      </w:r>
      <w:r>
        <w:rPr>
          <w:rFonts w:hint="eastAsia" w:ascii="仿宋" w:hAnsi="仿宋" w:eastAsia="仿宋" w:cs="仿宋"/>
          <w:color w:val="auto"/>
          <w:kern w:val="2"/>
          <w:sz w:val="31"/>
          <w:szCs w:val="31"/>
          <w:highlight w:val="none"/>
          <w:lang w:val="en-US" w:eastAsia="zh-CN" w:bidi="ar"/>
        </w:rPr>
        <w:t>主要原因：本部门2022年度没有</w:t>
      </w:r>
      <w:r>
        <w:rPr>
          <w:rFonts w:hint="eastAsia" w:ascii="仿宋" w:hAnsi="仿宋" w:eastAsia="仿宋" w:cs="仿宋"/>
          <w:sz w:val="31"/>
          <w:szCs w:val="31"/>
        </w:rPr>
        <w:t>国有资本经营预算财政拨款收入</w:t>
      </w:r>
      <w:r>
        <w:rPr>
          <w:rFonts w:hint="eastAsia" w:ascii="仿宋" w:hAnsi="仿宋" w:eastAsia="仿宋" w:cs="仿宋"/>
          <w:sz w:val="31"/>
          <w:szCs w:val="31"/>
          <w:lang w:eastAsia="zh-CN"/>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rPr>
      </w:pPr>
      <w:r>
        <w:rPr>
          <w:rFonts w:hint="eastAsia" w:ascii="仿宋" w:hAnsi="仿宋" w:eastAsia="仿宋" w:cs="仿宋"/>
          <w:color w:val="000000"/>
          <w:sz w:val="31"/>
          <w:szCs w:val="31"/>
          <w:shd w:val="clear" w:color="auto" w:fill="FFFFFF"/>
        </w:rPr>
        <w:t>4.</w:t>
      </w:r>
      <w:r>
        <w:rPr>
          <w:rFonts w:hint="eastAsia" w:ascii="仿宋" w:hAnsi="仿宋" w:eastAsia="仿宋" w:cs="仿宋"/>
          <w:sz w:val="31"/>
          <w:szCs w:val="31"/>
        </w:rPr>
        <w:t xml:space="preserve">上级补助收入 </w:t>
      </w:r>
      <w:r>
        <w:rPr>
          <w:rFonts w:ascii="仿宋" w:hAnsi="仿宋" w:eastAsia="仿宋" w:cs="仿宋"/>
          <w:sz w:val="31"/>
          <w:u w:color="auto"/>
        </w:rPr>
        <w:t>10.14 万元，为上级部门当年拨付的资金。较2021年度决算数0.00万元，增加10.14 万元，增长100%，</w:t>
      </w:r>
      <w:r>
        <w:rPr>
          <w:rFonts w:hint="eastAsia" w:ascii="仿宋" w:hAnsi="仿宋" w:eastAsia="仿宋" w:cs="仿宋"/>
          <w:color w:val="auto"/>
          <w:kern w:val="2"/>
          <w:sz w:val="31"/>
          <w:szCs w:val="31"/>
          <w:highlight w:val="none"/>
          <w:lang w:val="en-US" w:eastAsia="zh-CN" w:bidi="ar"/>
        </w:rPr>
        <w:t>主要原因：本部门2022年度</w:t>
      </w:r>
      <w:r>
        <w:rPr>
          <w:rFonts w:ascii="仿宋" w:hAnsi="仿宋" w:eastAsia="仿宋" w:cs="仿宋"/>
          <w:color w:val="auto"/>
          <w:sz w:val="31"/>
          <w:u w:color="auto"/>
        </w:rPr>
        <w:t>上级部门</w:t>
      </w:r>
      <w:r>
        <w:rPr>
          <w:rFonts w:hint="eastAsia" w:ascii="仿宋" w:hAnsi="仿宋" w:eastAsia="仿宋" w:cs="仿宋"/>
          <w:color w:val="auto"/>
          <w:sz w:val="31"/>
          <w:u w:color="auto"/>
          <w:lang w:eastAsia="zh-CN"/>
        </w:rPr>
        <w:t>安排优抚事业单位补助资金</w:t>
      </w:r>
      <w:r>
        <w:rPr>
          <w:rFonts w:hint="eastAsia" w:ascii="仿宋" w:hAnsi="仿宋" w:eastAsia="仿宋" w:cs="仿宋"/>
          <w:color w:val="auto"/>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FF0000"/>
          <w:kern w:val="2"/>
          <w:sz w:val="31"/>
          <w:szCs w:val="31"/>
          <w:highlight w:val="none"/>
          <w:lang w:val="en-US" w:eastAsia="zh-CN" w:bidi="ar"/>
        </w:rPr>
      </w:pPr>
      <w:r>
        <w:rPr>
          <w:rFonts w:hint="eastAsia" w:ascii="仿宋" w:hAnsi="仿宋" w:eastAsia="仿宋" w:cs="仿宋"/>
          <w:color w:val="000000"/>
          <w:sz w:val="31"/>
          <w:szCs w:val="31"/>
          <w:shd w:val="clear" w:color="auto" w:fill="FFFFFF"/>
        </w:rPr>
        <w:t>5.</w:t>
      </w:r>
      <w:r>
        <w:rPr>
          <w:rFonts w:hint="eastAsia" w:ascii="仿宋" w:hAnsi="仿宋" w:eastAsia="仿宋" w:cs="仿宋"/>
          <w:sz w:val="31"/>
          <w:szCs w:val="31"/>
        </w:rPr>
        <w:t>事业收入</w:t>
      </w:r>
      <w:r>
        <w:rPr>
          <w:rFonts w:ascii="仿宋" w:hAnsi="仿宋" w:eastAsia="仿宋" w:cs="仿宋"/>
          <w:sz w:val="31"/>
          <w:u w:color="auto"/>
        </w:rPr>
        <w:t>11.39万元，为事业单位开展业务活动取得的收入。较2021年度决算数 21.09万元，减少9.70 万元，下降45.99%，</w:t>
      </w:r>
      <w:r>
        <w:rPr>
          <w:rFonts w:hint="eastAsia" w:ascii="仿宋" w:hAnsi="仿宋" w:eastAsia="仿宋" w:cs="仿宋"/>
          <w:color w:val="auto"/>
          <w:kern w:val="2"/>
          <w:sz w:val="31"/>
          <w:szCs w:val="31"/>
          <w:highlight w:val="none"/>
          <w:lang w:val="en-US" w:eastAsia="zh-CN" w:bidi="ar"/>
        </w:rPr>
        <w:t>主要原因：疫情影响，瞻仰接待服务收入减少。</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6.</w:t>
      </w:r>
      <w:r>
        <w:rPr>
          <w:rFonts w:hint="eastAsia" w:ascii="仿宋" w:hAnsi="仿宋" w:eastAsia="仿宋" w:cs="仿宋"/>
          <w:sz w:val="31"/>
          <w:szCs w:val="31"/>
        </w:rPr>
        <w:t>经营收入</w:t>
      </w:r>
      <w:r>
        <w:rPr>
          <w:rFonts w:ascii="仿宋" w:hAnsi="仿宋" w:eastAsia="仿宋" w:cs="仿宋"/>
          <w:sz w:val="31"/>
          <w:u w:color="auto"/>
        </w:rPr>
        <w:t>0.00万，为事业单位在业务活动之外开展非独立核算经营活动取得的收入。较2021年度决算数0.00万元，增加0.00万元，增长0%，</w:t>
      </w:r>
      <w:r>
        <w:rPr>
          <w:rFonts w:hint="eastAsia" w:ascii="仿宋" w:hAnsi="仿宋" w:eastAsia="仿宋" w:cs="仿宋"/>
          <w:color w:val="auto"/>
          <w:kern w:val="2"/>
          <w:sz w:val="31"/>
          <w:szCs w:val="31"/>
          <w:highlight w:val="none"/>
          <w:lang w:val="en-US" w:eastAsia="zh-CN" w:bidi="ar"/>
        </w:rPr>
        <w:t>主要原因：本部门2022年度没有</w:t>
      </w:r>
      <w:r>
        <w:rPr>
          <w:rFonts w:hint="eastAsia" w:ascii="仿宋" w:hAnsi="仿宋" w:eastAsia="仿宋" w:cs="仿宋"/>
          <w:sz w:val="31"/>
          <w:szCs w:val="31"/>
        </w:rPr>
        <w:t>经营收入</w:t>
      </w:r>
      <w:r>
        <w:rPr>
          <w:rFonts w:hint="eastAsia" w:ascii="仿宋" w:hAnsi="仿宋" w:eastAsia="仿宋" w:cs="仿宋"/>
          <w:sz w:val="31"/>
          <w:szCs w:val="31"/>
          <w:lang w:eastAsia="zh-CN"/>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lang w:eastAsia="zh-CN"/>
        </w:rPr>
      </w:pPr>
      <w:r>
        <w:rPr>
          <w:rFonts w:hint="eastAsia" w:ascii="仿宋" w:hAnsi="仿宋" w:eastAsia="仿宋" w:cs="仿宋"/>
          <w:color w:val="000000"/>
          <w:sz w:val="31"/>
          <w:szCs w:val="31"/>
          <w:shd w:val="clear" w:color="auto" w:fill="FFFFFF"/>
        </w:rPr>
        <w:t>7.</w:t>
      </w:r>
      <w:r>
        <w:rPr>
          <w:rFonts w:hint="eastAsia" w:ascii="仿宋" w:hAnsi="仿宋" w:eastAsia="仿宋" w:cs="仿宋"/>
          <w:sz w:val="31"/>
          <w:szCs w:val="31"/>
        </w:rPr>
        <w:t>附属单位上缴收入</w:t>
      </w:r>
      <w:r>
        <w:rPr>
          <w:rFonts w:ascii="仿宋" w:hAnsi="仿宋" w:eastAsia="仿宋" w:cs="仿宋"/>
          <w:sz w:val="31"/>
          <w:u w:color="auto"/>
        </w:rPr>
        <w:t>0.00万元。较2021年度决算数0.00万元，增加0.00 万元，增长0%，</w:t>
      </w:r>
      <w:r>
        <w:rPr>
          <w:rFonts w:hint="eastAsia" w:ascii="仿宋" w:hAnsi="仿宋" w:eastAsia="仿宋" w:cs="仿宋"/>
          <w:color w:val="auto"/>
          <w:kern w:val="2"/>
          <w:sz w:val="31"/>
          <w:szCs w:val="31"/>
          <w:highlight w:val="none"/>
          <w:lang w:val="en-US" w:eastAsia="zh-CN" w:bidi="ar"/>
        </w:rPr>
        <w:t>主要原因：本部门2022年度没有</w:t>
      </w:r>
      <w:r>
        <w:rPr>
          <w:rFonts w:hint="eastAsia" w:ascii="仿宋" w:hAnsi="仿宋" w:eastAsia="仿宋" w:cs="仿宋"/>
          <w:sz w:val="31"/>
          <w:szCs w:val="31"/>
        </w:rPr>
        <w:t>附属单位上缴收入</w:t>
      </w:r>
      <w:r>
        <w:rPr>
          <w:rFonts w:hint="eastAsia" w:ascii="仿宋" w:hAnsi="仿宋" w:eastAsia="仿宋" w:cs="仿宋"/>
          <w:sz w:val="31"/>
          <w:szCs w:val="31"/>
          <w:lang w:eastAsia="zh-CN"/>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highlight w:val="none"/>
          <w:lang w:val="en-US"/>
        </w:rPr>
      </w:pPr>
      <w:r>
        <w:rPr>
          <w:rFonts w:hint="eastAsia" w:ascii="仿宋" w:hAnsi="仿宋" w:eastAsia="仿宋" w:cs="仿宋"/>
          <w:color w:val="000000"/>
          <w:sz w:val="31"/>
          <w:szCs w:val="31"/>
          <w:shd w:val="clear" w:color="auto" w:fill="FFFFFF"/>
        </w:rPr>
        <w:t>8.</w:t>
      </w:r>
      <w:r>
        <w:rPr>
          <w:rFonts w:hint="eastAsia" w:ascii="仿宋" w:hAnsi="仿宋" w:eastAsia="仿宋" w:cs="仿宋"/>
          <w:sz w:val="31"/>
          <w:szCs w:val="31"/>
        </w:rPr>
        <w:t>其他收入</w:t>
      </w:r>
      <w:r>
        <w:rPr>
          <w:rFonts w:ascii="仿宋" w:hAnsi="仿宋" w:eastAsia="仿宋" w:cs="仿宋"/>
          <w:sz w:val="31"/>
          <w:u w:color="auto"/>
        </w:rPr>
        <w:t>0.02万元，为预算单位在“财政拨款收入”“事业收入”“经营收入”之外取得的收入。较2021年度决算数0.02万元，增加0.00万元，增长0%</w:t>
      </w:r>
      <w:r>
        <w:rPr>
          <w:rFonts w:hint="eastAsia" w:ascii="仿宋" w:hAnsi="仿宋" w:eastAsia="仿宋" w:cs="仿宋"/>
          <w:color w:val="000000"/>
          <w:sz w:val="31"/>
          <w:szCs w:val="31"/>
          <w:shd w:val="clear" w:color="auto" w:fill="FFFFFF"/>
        </w:rPr>
        <w:t>，</w:t>
      </w:r>
      <w:r>
        <w:rPr>
          <w:rFonts w:hint="eastAsia" w:ascii="仿宋" w:hAnsi="仿宋" w:eastAsia="仿宋" w:cs="仿宋"/>
          <w:color w:val="auto"/>
          <w:kern w:val="2"/>
          <w:sz w:val="31"/>
          <w:szCs w:val="31"/>
          <w:highlight w:val="none"/>
          <w:lang w:val="en-US" w:eastAsia="zh-CN" w:bidi="ar"/>
        </w:rPr>
        <w:t>主要原因：单位基本户存款利息各年度不一。</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rPr>
      </w:pPr>
      <w:r>
        <w:rPr>
          <w:rFonts w:hint="eastAsia" w:ascii="仿宋" w:hAnsi="仿宋" w:eastAsia="仿宋" w:cs="仿宋"/>
          <w:color w:val="000000"/>
          <w:sz w:val="31"/>
          <w:szCs w:val="31"/>
          <w:shd w:val="clear" w:color="auto" w:fill="FFFFFF"/>
        </w:rPr>
        <w:t>9.使用非财政拨款结余</w:t>
      </w:r>
      <w:r>
        <w:rPr>
          <w:rFonts w:hint="eastAsia" w:ascii="仿宋" w:hAnsi="仿宋" w:eastAsia="仿宋" w:cs="仿宋"/>
          <w:sz w:val="31"/>
          <w:szCs w:val="31"/>
        </w:rPr>
        <w:t>0.00</w:t>
      </w:r>
      <w:r>
        <w:rPr>
          <w:rFonts w:hint="eastAsia" w:ascii="仿宋" w:hAnsi="仿宋" w:eastAsia="仿宋" w:cs="仿宋"/>
          <w:color w:val="000000"/>
          <w:sz w:val="31"/>
          <w:szCs w:val="31"/>
          <w:shd w:val="clear" w:color="auto" w:fill="FFFFFF"/>
        </w:rPr>
        <w:t>万元，较2021年度决算数</w:t>
      </w:r>
      <w:r>
        <w:rPr>
          <w:rFonts w:hint="eastAsia" w:ascii="仿宋" w:hAnsi="仿宋" w:eastAsia="仿宋" w:cs="仿宋"/>
          <w:sz w:val="31"/>
          <w:szCs w:val="31"/>
        </w:rPr>
        <w:t>0.00</w:t>
      </w:r>
      <w:r>
        <w:rPr>
          <w:rFonts w:ascii="仿宋" w:hAnsi="仿宋" w:eastAsia="仿宋" w:cs="仿宋"/>
          <w:sz w:val="31"/>
          <w:u w:color="auto"/>
        </w:rPr>
        <w:t>万元，增加0.00 万元，增长0%</w:t>
      </w:r>
      <w:r>
        <w:rPr>
          <w:rFonts w:hint="eastAsia" w:ascii="仿宋" w:hAnsi="仿宋" w:eastAsia="仿宋" w:cs="仿宋"/>
          <w:color w:val="000000"/>
          <w:sz w:val="31"/>
          <w:szCs w:val="31"/>
          <w:shd w:val="clear" w:color="auto" w:fill="FFFFFF"/>
        </w:rPr>
        <w:t>，</w:t>
      </w:r>
      <w:r>
        <w:rPr>
          <w:rFonts w:hint="eastAsia" w:ascii="仿宋" w:hAnsi="仿宋" w:eastAsia="仿宋" w:cs="仿宋"/>
          <w:color w:val="auto"/>
          <w:kern w:val="2"/>
          <w:sz w:val="31"/>
          <w:szCs w:val="31"/>
          <w:highlight w:val="none"/>
          <w:lang w:val="en-US" w:eastAsia="zh-CN" w:bidi="ar"/>
        </w:rPr>
        <w:t>主要原因：本部门2022年度没有</w:t>
      </w:r>
      <w:r>
        <w:rPr>
          <w:rFonts w:hint="eastAsia" w:ascii="仿宋" w:hAnsi="仿宋" w:eastAsia="仿宋" w:cs="仿宋"/>
          <w:color w:val="000000"/>
          <w:sz w:val="31"/>
          <w:szCs w:val="31"/>
          <w:shd w:val="clear" w:color="auto" w:fill="FFFFFF"/>
        </w:rPr>
        <w:t>非财政拨款结余</w:t>
      </w:r>
      <w:r>
        <w:rPr>
          <w:rFonts w:hint="eastAsia" w:ascii="仿宋" w:hAnsi="仿宋" w:eastAsia="仿宋" w:cs="仿宋"/>
          <w:color w:val="000000"/>
          <w:sz w:val="31"/>
          <w:szCs w:val="31"/>
          <w:shd w:val="clear" w:color="auto" w:fill="FFFFFF"/>
          <w:lang w:eastAsia="zh-CN"/>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10.年初结转和结余</w:t>
      </w:r>
      <w:r>
        <w:rPr>
          <w:rFonts w:hint="eastAsia" w:ascii="仿宋" w:hAnsi="仿宋" w:eastAsia="仿宋" w:cs="仿宋"/>
          <w:sz w:val="31"/>
          <w:szCs w:val="31"/>
        </w:rPr>
        <w:t>0.00</w:t>
      </w:r>
      <w:r>
        <w:rPr>
          <w:rFonts w:hint="eastAsia" w:ascii="仿宋" w:hAnsi="仿宋" w:eastAsia="仿宋" w:cs="仿宋"/>
          <w:color w:val="000000"/>
          <w:sz w:val="31"/>
          <w:szCs w:val="31"/>
          <w:shd w:val="clear" w:color="auto" w:fill="FFFFFF"/>
        </w:rPr>
        <w:t>万元，为以前年度支出预算因客观条件变化未执行完毕、结转到本年度按有关规定继续使用的资金。较2021年度决算数</w:t>
      </w:r>
      <w:r>
        <w:rPr>
          <w:rFonts w:hint="eastAsia" w:ascii="仿宋" w:hAnsi="仿宋" w:eastAsia="仿宋" w:cs="仿宋"/>
          <w:sz w:val="31"/>
          <w:szCs w:val="31"/>
        </w:rPr>
        <w:t>2.07</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rPr>
        <w:t>减少2.07</w:t>
      </w:r>
      <w:r>
        <w:rPr>
          <w:rFonts w:hint="eastAsia" w:ascii="仿宋" w:hAnsi="仿宋" w:eastAsia="仿宋" w:cs="仿宋"/>
          <w:color w:val="000000"/>
          <w:sz w:val="31"/>
          <w:szCs w:val="31"/>
          <w:shd w:val="clear" w:color="auto" w:fill="FFFFFF"/>
        </w:rPr>
        <w:t>万元，</w:t>
      </w:r>
      <w:r>
        <w:rPr>
          <w:rFonts w:ascii="仿宋" w:hAnsi="仿宋" w:eastAsia="仿宋" w:cs="仿宋"/>
          <w:color w:val="000000"/>
          <w:sz w:val="31"/>
          <w:u w:color="auto"/>
        </w:rPr>
        <w:t>下降100.00%，</w:t>
      </w:r>
      <w:r>
        <w:rPr>
          <w:rFonts w:hint="eastAsia" w:ascii="仿宋" w:hAnsi="仿宋" w:eastAsia="仿宋" w:cs="仿宋"/>
          <w:color w:val="auto"/>
          <w:kern w:val="2"/>
          <w:sz w:val="31"/>
          <w:szCs w:val="31"/>
          <w:highlight w:val="none"/>
          <w:lang w:val="en-US" w:eastAsia="zh-CN" w:bidi="ar"/>
        </w:rPr>
        <w:t>主要原因：本部门2022年度没有</w:t>
      </w:r>
      <w:r>
        <w:rPr>
          <w:rFonts w:hint="eastAsia" w:ascii="仿宋" w:hAnsi="仿宋" w:eastAsia="仿宋" w:cs="仿宋"/>
          <w:color w:val="000000"/>
          <w:sz w:val="31"/>
          <w:szCs w:val="31"/>
          <w:shd w:val="clear" w:color="auto" w:fill="FFFFFF"/>
        </w:rPr>
        <w:t>年初结转和结余</w:t>
      </w:r>
      <w:r>
        <w:rPr>
          <w:rFonts w:hint="eastAsia" w:ascii="仿宋" w:hAnsi="仿宋" w:eastAsia="仿宋" w:cs="仿宋"/>
          <w:color w:val="000000"/>
          <w:sz w:val="31"/>
          <w:szCs w:val="31"/>
          <w:shd w:val="clear" w:color="auto" w:fill="FFFFFF"/>
          <w:lang w:eastAsia="zh-CN"/>
        </w:rPr>
        <w:t>。</w:t>
      </w:r>
    </w:p>
    <w:p>
      <w:pPr>
        <w:pStyle w:val="6"/>
        <w:widowControl/>
        <w:spacing w:before="450" w:beforeAutospacing="0" w:after="450" w:afterAutospacing="0" w:line="420" w:lineRule="atLeast"/>
        <w:ind w:firstLine="630"/>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（二）本部门2022年度总支出</w:t>
      </w:r>
      <w:r>
        <w:rPr>
          <w:rFonts w:hint="eastAsia" w:ascii="仿宋" w:hAnsi="仿宋" w:eastAsia="仿宋" w:cs="仿宋"/>
          <w:sz w:val="31"/>
          <w:szCs w:val="31"/>
        </w:rPr>
        <w:t>212.68</w:t>
      </w:r>
      <w:r>
        <w:rPr>
          <w:rFonts w:hint="eastAsia" w:ascii="仿宋" w:hAnsi="仿宋" w:eastAsia="仿宋" w:cs="仿宋"/>
          <w:color w:val="000000"/>
          <w:sz w:val="31"/>
          <w:szCs w:val="31"/>
          <w:shd w:val="clear" w:color="auto" w:fill="FFFFFF"/>
        </w:rPr>
        <w:t>万元（其中本年支出</w:t>
      </w:r>
      <w:r>
        <w:rPr>
          <w:rFonts w:hint="eastAsia" w:ascii="仿宋" w:hAnsi="仿宋" w:eastAsia="仿宋" w:cs="仿宋"/>
          <w:sz w:val="31"/>
          <w:szCs w:val="31"/>
        </w:rPr>
        <w:t>212.68</w:t>
      </w:r>
      <w:r>
        <w:rPr>
          <w:rFonts w:hint="eastAsia" w:ascii="仿宋" w:hAnsi="仿宋" w:eastAsia="仿宋" w:cs="仿宋"/>
          <w:color w:val="000000"/>
          <w:sz w:val="31"/>
          <w:szCs w:val="31"/>
          <w:shd w:val="clear" w:color="auto" w:fill="FFFFFF"/>
        </w:rPr>
        <w:t>万元），较2021年度决算数</w:t>
      </w:r>
      <w:r>
        <w:rPr>
          <w:rFonts w:hint="eastAsia" w:ascii="仿宋" w:hAnsi="仿宋" w:eastAsia="仿宋" w:cs="仿宋"/>
          <w:sz w:val="31"/>
          <w:szCs w:val="31"/>
        </w:rPr>
        <w:t>221.61</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rPr>
        <w:t>减少8.93</w:t>
      </w:r>
      <w:r>
        <w:rPr>
          <w:rFonts w:hint="eastAsia" w:ascii="仿宋" w:hAnsi="仿宋" w:eastAsia="仿宋" w:cs="仿宋"/>
          <w:sz w:val="31"/>
          <w:szCs w:val="31"/>
          <w:lang w:val="en-US" w:eastAsia="zh-CN"/>
        </w:rPr>
        <w:t>万元</w:t>
      </w:r>
      <w:r>
        <w:rPr>
          <w:rFonts w:hint="eastAsia" w:ascii="仿宋" w:hAnsi="仿宋" w:eastAsia="仿宋" w:cs="仿宋"/>
          <w:color w:val="000000"/>
          <w:sz w:val="31"/>
          <w:szCs w:val="31"/>
          <w:shd w:val="clear" w:color="auto" w:fill="FFFFFF"/>
        </w:rPr>
        <w:t>，</w:t>
      </w:r>
      <w:r>
        <w:rPr>
          <w:rFonts w:hint="eastAsia" w:ascii="仿宋" w:hAnsi="仿宋" w:eastAsia="仿宋" w:cs="仿宋"/>
          <w:sz w:val="31"/>
          <w:szCs w:val="31"/>
        </w:rPr>
        <w:t>下降4.03%</w:t>
      </w:r>
      <w:r>
        <w:rPr>
          <w:rFonts w:hint="eastAsia" w:ascii="仿宋" w:hAnsi="仿宋" w:eastAsia="仿宋" w:cs="仿宋"/>
          <w:color w:val="000000"/>
          <w:sz w:val="31"/>
          <w:szCs w:val="31"/>
          <w:shd w:val="clear" w:color="auto" w:fill="FFFFFF"/>
        </w:rPr>
        <w:t>。支出具体情况如下：</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sz w:val="31"/>
          <w:szCs w:val="31"/>
        </w:rPr>
        <w:t>1</w:t>
      </w:r>
      <w:r>
        <w:rPr>
          <w:rFonts w:ascii="仿宋" w:hAnsi="仿宋" w:eastAsia="仿宋" w:cs="仿宋"/>
          <w:sz w:val="31"/>
          <w:u w:color="auto"/>
        </w:rPr>
        <w:t>.</w:t>
      </w:r>
      <w:r>
        <w:rPr>
          <w:rFonts w:hint="eastAsia" w:ascii="仿宋" w:hAnsi="仿宋" w:eastAsia="仿宋" w:cs="仿宋"/>
          <w:sz w:val="31"/>
          <w:szCs w:val="31"/>
          <w:lang w:bidi="ar"/>
        </w:rPr>
        <w:t>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204.07</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auto"/>
          <w:sz w:val="31"/>
          <w:szCs w:val="31"/>
          <w:highlight w:val="none"/>
        </w:rPr>
        <w:t>主要用于</w:t>
      </w:r>
      <w:r>
        <w:rPr>
          <w:rFonts w:hint="eastAsia" w:ascii="仿宋" w:hAnsi="仿宋" w:eastAsia="仿宋" w:cs="仿宋"/>
          <w:color w:val="auto"/>
          <w:sz w:val="31"/>
          <w:szCs w:val="31"/>
          <w:highlight w:val="none"/>
          <w:lang w:eastAsia="zh-CN"/>
        </w:rPr>
        <w:t>：在职人员经费、园区日常运行管理支出</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213.77</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减少9.70</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下降4.54%</w:t>
      </w:r>
      <w:r>
        <w:rPr>
          <w:rFonts w:hint="eastAsia" w:ascii="仿宋" w:hAnsi="仿宋" w:eastAsia="仿宋" w:cs="仿宋"/>
          <w:color w:val="000000"/>
          <w:sz w:val="31"/>
          <w:szCs w:val="31"/>
          <w:shd w:val="clear" w:color="auto" w:fill="FFFFFF"/>
        </w:rPr>
        <w:t>，</w:t>
      </w:r>
      <w:r>
        <w:rPr>
          <w:rFonts w:hint="eastAsia" w:ascii="仿宋" w:hAnsi="仿宋" w:eastAsia="仿宋" w:cs="仿宋"/>
          <w:color w:val="auto"/>
          <w:kern w:val="2"/>
          <w:sz w:val="31"/>
          <w:szCs w:val="31"/>
          <w:highlight w:val="none"/>
          <w:lang w:val="en-US" w:eastAsia="zh-CN" w:bidi="ar"/>
        </w:rPr>
        <w:t>主要原因是：经费压减。</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kern w:val="2"/>
          <w:sz w:val="31"/>
          <w:szCs w:val="31"/>
          <w:highlight w:val="none"/>
          <w:lang w:val="en-US" w:eastAsia="zh-CN" w:bidi="ar"/>
        </w:rPr>
      </w:pPr>
      <w:r>
        <w:rPr>
          <w:rFonts w:hint="eastAsia" w:ascii="仿宋" w:hAnsi="仿宋" w:eastAsia="仿宋" w:cs="仿宋"/>
          <w:sz w:val="31"/>
          <w:szCs w:val="31"/>
        </w:rPr>
        <w:t>2</w:t>
      </w:r>
      <w:r>
        <w:rPr>
          <w:rFonts w:ascii="仿宋" w:hAnsi="仿宋" w:eastAsia="仿宋" w:cs="仿宋"/>
          <w:sz w:val="31"/>
          <w:u w:color="auto"/>
        </w:rPr>
        <w:t>.</w:t>
      </w:r>
      <w:r>
        <w:rPr>
          <w:rFonts w:hint="eastAsia" w:ascii="仿宋" w:hAnsi="仿宋" w:eastAsia="仿宋" w:cs="仿宋"/>
          <w:sz w:val="31"/>
          <w:szCs w:val="31"/>
          <w:lang w:bidi="ar"/>
        </w:rPr>
        <w:t>卫生健康支出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2.40</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auto"/>
          <w:sz w:val="31"/>
          <w:szCs w:val="31"/>
          <w:highlight w:val="none"/>
        </w:rPr>
        <w:t>主要用于</w:t>
      </w:r>
      <w:r>
        <w:rPr>
          <w:rFonts w:hint="eastAsia" w:ascii="仿宋" w:hAnsi="仿宋" w:eastAsia="仿宋" w:cs="仿宋"/>
          <w:color w:val="auto"/>
          <w:sz w:val="31"/>
          <w:szCs w:val="31"/>
          <w:highlight w:val="none"/>
          <w:lang w:eastAsia="zh-CN"/>
        </w:rPr>
        <w:t>：在职人员医疗保险缴纳支出，</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2.18</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增加0.22</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增长10.09%</w:t>
      </w:r>
      <w:r>
        <w:rPr>
          <w:rFonts w:hint="eastAsia" w:ascii="仿宋" w:hAnsi="仿宋" w:eastAsia="仿宋" w:cs="仿宋"/>
          <w:color w:val="000000"/>
          <w:sz w:val="31"/>
          <w:szCs w:val="31"/>
          <w:shd w:val="clear" w:color="auto" w:fill="FFFFFF"/>
        </w:rPr>
        <w:t>，</w:t>
      </w:r>
      <w:r>
        <w:rPr>
          <w:rFonts w:hint="eastAsia" w:ascii="仿宋" w:hAnsi="仿宋" w:eastAsia="仿宋" w:cs="仿宋"/>
          <w:color w:val="auto"/>
          <w:kern w:val="2"/>
          <w:sz w:val="31"/>
          <w:szCs w:val="31"/>
          <w:highlight w:val="none"/>
          <w:lang w:val="en-US" w:eastAsia="zh-CN" w:bidi="ar"/>
        </w:rPr>
        <w:t>主要原因是：医疗保险年度缴费基数调整导致增加。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kern w:val="2"/>
          <w:sz w:val="31"/>
          <w:szCs w:val="31"/>
          <w:highlight w:val="none"/>
          <w:lang w:val="en-US" w:eastAsia="zh-CN" w:bidi="ar"/>
        </w:rPr>
      </w:pPr>
      <w:r>
        <w:rPr>
          <w:rFonts w:hint="eastAsia" w:ascii="仿宋" w:hAnsi="仿宋" w:eastAsia="仿宋" w:cs="仿宋"/>
          <w:sz w:val="31"/>
          <w:szCs w:val="31"/>
        </w:rPr>
        <w:t>3</w:t>
      </w:r>
      <w:r>
        <w:rPr>
          <w:rFonts w:ascii="仿宋" w:hAnsi="仿宋" w:eastAsia="仿宋" w:cs="仿宋"/>
          <w:sz w:val="31"/>
          <w:u w:color="auto"/>
        </w:rPr>
        <w:t>.</w:t>
      </w:r>
      <w:r>
        <w:rPr>
          <w:rFonts w:hint="eastAsia" w:ascii="仿宋" w:hAnsi="仿宋" w:eastAsia="仿宋" w:cs="仿宋"/>
          <w:sz w:val="31"/>
          <w:szCs w:val="31"/>
          <w:lang w:bidi="ar"/>
        </w:rPr>
        <w:t>住房保障支出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6.21</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auto"/>
          <w:sz w:val="31"/>
          <w:szCs w:val="31"/>
          <w:highlight w:val="none"/>
        </w:rPr>
        <w:t>主要用于</w:t>
      </w:r>
      <w:r>
        <w:rPr>
          <w:rFonts w:hint="eastAsia" w:ascii="仿宋" w:hAnsi="仿宋" w:eastAsia="仿宋" w:cs="仿宋"/>
          <w:color w:val="auto"/>
          <w:sz w:val="31"/>
          <w:szCs w:val="31"/>
          <w:highlight w:val="none"/>
          <w:lang w:eastAsia="zh-CN"/>
        </w:rPr>
        <w:t>：</w:t>
      </w:r>
      <w:r>
        <w:rPr>
          <w:rFonts w:hint="eastAsia" w:ascii="仿宋" w:hAnsi="仿宋" w:eastAsia="仿宋" w:cs="仿宋"/>
          <w:color w:val="auto"/>
          <w:sz w:val="31"/>
          <w:szCs w:val="31"/>
          <w:highlight w:val="none"/>
          <w:lang w:val="en-US" w:eastAsia="zh-CN"/>
        </w:rPr>
        <w:t>在职人员住房公积金缴纳支出</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5.66</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增加0.55</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增长9.72%</w:t>
      </w:r>
      <w:r>
        <w:rPr>
          <w:rFonts w:hint="eastAsia" w:ascii="仿宋" w:hAnsi="仿宋" w:eastAsia="仿宋" w:cs="仿宋"/>
          <w:color w:val="000000"/>
          <w:sz w:val="31"/>
          <w:szCs w:val="31"/>
          <w:shd w:val="clear" w:color="auto" w:fill="FFFFFF"/>
        </w:rPr>
        <w:t>，</w:t>
      </w:r>
      <w:r>
        <w:rPr>
          <w:rFonts w:hint="eastAsia" w:ascii="仿宋" w:hAnsi="仿宋" w:eastAsia="仿宋" w:cs="仿宋"/>
          <w:color w:val="auto"/>
          <w:kern w:val="2"/>
          <w:sz w:val="31"/>
          <w:szCs w:val="31"/>
          <w:highlight w:val="none"/>
          <w:lang w:val="en-US" w:eastAsia="zh-CN" w:bidi="ar"/>
        </w:rPr>
        <w:t>主要原因是：</w:t>
      </w:r>
      <w:r>
        <w:rPr>
          <w:rFonts w:hint="eastAsia" w:ascii="仿宋" w:hAnsi="仿宋" w:eastAsia="仿宋" w:cs="仿宋"/>
          <w:color w:val="auto"/>
          <w:sz w:val="31"/>
          <w:szCs w:val="31"/>
          <w:highlight w:val="none"/>
          <w:lang w:val="en-US" w:eastAsia="zh-CN"/>
        </w:rPr>
        <w:t>住房公积金</w:t>
      </w:r>
      <w:r>
        <w:rPr>
          <w:rFonts w:hint="eastAsia" w:ascii="仿宋" w:hAnsi="仿宋" w:eastAsia="仿宋" w:cs="仿宋"/>
          <w:color w:val="auto"/>
          <w:kern w:val="2"/>
          <w:sz w:val="31"/>
          <w:szCs w:val="31"/>
          <w:highlight w:val="none"/>
          <w:lang w:val="en-US" w:eastAsia="zh-CN" w:bidi="ar"/>
        </w:rPr>
        <w:t>年度缴费基数调整导致增加。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结余分配</w:t>
      </w:r>
      <w:r>
        <w:rPr>
          <w:rFonts w:ascii="仿宋" w:hAnsi="仿宋" w:eastAsia="仿宋" w:cs="仿宋"/>
          <w:color w:val="000000"/>
          <w:sz w:val="31"/>
          <w:u w:color="auto"/>
        </w:rPr>
        <w:t>0.00万元，为事业单位按规定提取的专用结余、缴纳所得税和转入非财政拨款结余等。较2021年决算0.00万元增加0.00 万元，增长0%，</w:t>
      </w:r>
      <w:r>
        <w:rPr>
          <w:rFonts w:hint="eastAsia" w:ascii="仿宋" w:hAnsi="仿宋" w:eastAsia="仿宋" w:cs="仿宋"/>
          <w:color w:val="auto"/>
          <w:kern w:val="2"/>
          <w:sz w:val="31"/>
          <w:szCs w:val="31"/>
          <w:highlight w:val="none"/>
          <w:lang w:val="en-US" w:eastAsia="zh-CN" w:bidi="ar"/>
        </w:rPr>
        <w:t>主要原因是：本部门2022年度没有</w:t>
      </w:r>
      <w:r>
        <w:rPr>
          <w:rFonts w:hint="eastAsia" w:ascii="仿宋" w:hAnsi="仿宋" w:eastAsia="仿宋" w:cs="仿宋"/>
          <w:color w:val="000000"/>
          <w:sz w:val="31"/>
          <w:szCs w:val="31"/>
          <w:shd w:val="clear" w:color="auto" w:fill="FFFFFF"/>
        </w:rPr>
        <w:t>结余分配</w:t>
      </w:r>
      <w:r>
        <w:rPr>
          <w:rFonts w:hint="eastAsia" w:ascii="仿宋" w:hAnsi="仿宋" w:eastAsia="仿宋" w:cs="仿宋"/>
          <w:color w:val="000000"/>
          <w:sz w:val="31"/>
          <w:szCs w:val="31"/>
          <w:shd w:val="clear" w:color="auto" w:fill="FFFFFF"/>
          <w:lang w:eastAsia="zh-CN"/>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年末结转和结余</w:t>
      </w:r>
      <w:r>
        <w:rPr>
          <w:rFonts w:ascii="仿宋" w:hAnsi="仿宋" w:eastAsia="仿宋" w:cs="仿宋"/>
          <w:color w:val="000000"/>
          <w:sz w:val="31"/>
          <w:u w:color="auto"/>
        </w:rPr>
        <w:t>0.00万元，为本年度或以前年度预算安排、因客观条件发生变化无法按原计划实施，需要延迟到以后年度按有关规定继续使用的资金。较2021年决算0.00万元增加0.00 万元，增长0%，</w:t>
      </w:r>
      <w:r>
        <w:rPr>
          <w:rFonts w:hint="eastAsia" w:ascii="仿宋" w:hAnsi="仿宋" w:eastAsia="仿宋" w:cs="仿宋"/>
          <w:color w:val="auto"/>
          <w:kern w:val="2"/>
          <w:sz w:val="31"/>
          <w:szCs w:val="31"/>
          <w:highlight w:val="none"/>
          <w:lang w:val="en-US" w:eastAsia="zh-CN" w:bidi="ar"/>
        </w:rPr>
        <w:t>主要原因是：本部门2022年度没有</w:t>
      </w:r>
      <w:r>
        <w:rPr>
          <w:rFonts w:hint="eastAsia" w:ascii="仿宋" w:hAnsi="仿宋" w:eastAsia="仿宋" w:cs="仿宋"/>
          <w:color w:val="000000"/>
          <w:sz w:val="31"/>
          <w:szCs w:val="31"/>
          <w:shd w:val="clear" w:color="auto" w:fill="FFFFFF"/>
        </w:rPr>
        <w:t>年末结转和结余</w:t>
      </w:r>
      <w:r>
        <w:rPr>
          <w:rFonts w:hint="eastAsia" w:ascii="仿宋" w:hAnsi="仿宋" w:eastAsia="仿宋" w:cs="仿宋"/>
          <w:color w:val="000000"/>
          <w:sz w:val="31"/>
          <w:szCs w:val="31"/>
          <w:shd w:val="clear" w:color="auto" w:fill="FFFFFF"/>
          <w:lang w:eastAsia="zh-CN"/>
        </w:rPr>
        <w:t>。</w:t>
      </w:r>
    </w:p>
    <w:p>
      <w:pPr>
        <w:pStyle w:val="6"/>
        <w:widowControl/>
        <w:spacing w:before="450" w:beforeAutospacing="0" w:after="450" w:afterAutospacing="0" w:line="420" w:lineRule="atLeast"/>
        <w:ind w:firstLine="645"/>
        <w:rPr>
          <w:rFonts w:ascii="仿宋_GB2312" w:hAnsi="微软雅黑" w:eastAsia="仿宋_GB2312" w:cs="仿宋_GB2312"/>
          <w:color w:val="000000"/>
          <w:sz w:val="31"/>
          <w:szCs w:val="31"/>
          <w:u w:val="single"/>
          <w:shd w:val="clear" w:color="auto" w:fill="FFFFFF"/>
        </w:rPr>
      </w:pPr>
      <w:r>
        <w:rPr>
          <w:rFonts w:hint="eastAsia" w:ascii="黑体" w:hAnsi="宋体" w:eastAsia="黑体" w:cs="黑体"/>
          <w:color w:val="000000"/>
          <w:sz w:val="32"/>
          <w:szCs w:val="32"/>
          <w:shd w:val="clear" w:color="auto" w:fill="FFFFFF"/>
        </w:rPr>
        <w:t>二、2022年度一般公共预算财政拨款支出决算情况</w:t>
      </w:r>
    </w:p>
    <w:p>
      <w:pPr>
        <w:pStyle w:val="6"/>
        <w:widowControl/>
        <w:spacing w:before="450" w:beforeAutospacing="0" w:after="450" w:afterAutospacing="0" w:line="420" w:lineRule="atLeast"/>
        <w:ind w:left="309" w:leftChars="147" w:firstLine="620" w:firstLineChars="200"/>
        <w:rPr>
          <w:rFonts w:hint="eastAsia" w:ascii="仿宋" w:hAnsi="仿宋" w:eastAsia="仿宋" w:cs="仿宋"/>
          <w:color w:val="000000"/>
          <w:sz w:val="31"/>
          <w:szCs w:val="31"/>
        </w:rPr>
      </w:pPr>
      <w:r>
        <w:rPr>
          <w:rFonts w:hint="eastAsia" w:ascii="仿宋" w:hAnsi="仿宋" w:eastAsia="仿宋" w:cs="仿宋"/>
          <w:color w:val="000000"/>
          <w:sz w:val="31"/>
          <w:szCs w:val="31"/>
          <w:u w:val="single"/>
          <w:shd w:val="clear" w:color="auto" w:fill="FFFFFF"/>
        </w:rPr>
        <w:t>百色起义纪念碑园</w:t>
      </w:r>
      <w:r>
        <w:rPr>
          <w:rFonts w:hint="eastAsia" w:ascii="仿宋" w:hAnsi="仿宋" w:eastAsia="仿宋" w:cs="仿宋"/>
          <w:color w:val="000000"/>
          <w:sz w:val="31"/>
          <w:szCs w:val="31"/>
          <w:shd w:val="clear" w:color="auto" w:fill="FFFFFF"/>
        </w:rPr>
        <w:t>2022年度一般公共预算财政拨款支出</w:t>
      </w:r>
      <w:r>
        <w:rPr>
          <w:rFonts w:hint="eastAsia" w:ascii="仿宋" w:hAnsi="仿宋" w:eastAsia="仿宋" w:cs="仿宋"/>
          <w:sz w:val="31"/>
          <w:szCs w:val="31"/>
        </w:rPr>
        <w:t>191.14</w:t>
      </w:r>
      <w:r>
        <w:rPr>
          <w:rFonts w:hint="eastAsia" w:ascii="仿宋" w:hAnsi="仿宋" w:eastAsia="仿宋" w:cs="仿宋"/>
          <w:color w:val="000000"/>
          <w:sz w:val="31"/>
          <w:szCs w:val="31"/>
          <w:shd w:val="clear" w:color="auto" w:fill="FFFFFF"/>
        </w:rPr>
        <w:t>万元，较2021年度决算数</w:t>
      </w:r>
      <w:r>
        <w:rPr>
          <w:rFonts w:hint="eastAsia" w:ascii="仿宋" w:hAnsi="仿宋" w:eastAsia="仿宋" w:cs="仿宋"/>
          <w:sz w:val="31"/>
          <w:szCs w:val="31"/>
          <w:highlight w:val="none"/>
        </w:rPr>
        <w:t>198.44</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rPr>
        <w:t>减少7.30</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rPr>
        <w:t>下降3.68%</w:t>
      </w:r>
      <w:r>
        <w:rPr>
          <w:rFonts w:hint="eastAsia" w:ascii="仿宋" w:hAnsi="仿宋" w:eastAsia="仿宋" w:cs="仿宋"/>
          <w:color w:val="000000"/>
          <w:sz w:val="31"/>
          <w:szCs w:val="31"/>
          <w:shd w:val="clear" w:color="auto" w:fill="FFFFFF"/>
        </w:rPr>
        <w:t> 。其中：基本支出</w:t>
      </w:r>
      <w:r>
        <w:rPr>
          <w:rFonts w:hint="eastAsia" w:ascii="仿宋" w:hAnsi="仿宋" w:eastAsia="仿宋" w:cs="仿宋"/>
          <w:sz w:val="31"/>
          <w:szCs w:val="31"/>
        </w:rPr>
        <w:t>86.77</w:t>
      </w:r>
      <w:r>
        <w:rPr>
          <w:rFonts w:hint="eastAsia" w:ascii="仿宋" w:hAnsi="仿宋" w:eastAsia="仿宋" w:cs="仿宋"/>
          <w:color w:val="000000"/>
          <w:sz w:val="31"/>
          <w:szCs w:val="31"/>
          <w:shd w:val="clear" w:color="auto" w:fill="FFFFFF"/>
        </w:rPr>
        <w:t>万元，项目支出</w:t>
      </w:r>
      <w:r>
        <w:rPr>
          <w:rFonts w:hint="eastAsia" w:ascii="仿宋" w:hAnsi="仿宋" w:eastAsia="仿宋" w:cs="仿宋"/>
          <w:sz w:val="31"/>
          <w:szCs w:val="31"/>
        </w:rPr>
        <w:t>104.36</w:t>
      </w:r>
      <w:r>
        <w:rPr>
          <w:rFonts w:hint="eastAsia" w:ascii="仿宋" w:hAnsi="仿宋" w:eastAsia="仿宋" w:cs="仿宋"/>
          <w:color w:val="000000"/>
          <w:sz w:val="31"/>
          <w:szCs w:val="31"/>
          <w:shd w:val="clear" w:color="auto" w:fill="FFFFFF"/>
        </w:rPr>
        <w:t xml:space="preserve"> 万元。</w:t>
      </w:r>
    </w:p>
    <w:p>
      <w:pPr>
        <w:pStyle w:val="6"/>
        <w:widowControl/>
        <w:spacing w:before="450" w:beforeAutospacing="0" w:after="450" w:afterAutospacing="0" w:line="420" w:lineRule="atLeast"/>
        <w:ind w:firstLine="630"/>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u w:val="single"/>
          <w:shd w:val="clear" w:color="auto" w:fill="FFFFFF"/>
        </w:rPr>
        <w:t>百色起义纪念碑园</w:t>
      </w:r>
      <w:r>
        <w:rPr>
          <w:rFonts w:hint="eastAsia" w:ascii="仿宋" w:hAnsi="仿宋" w:eastAsia="仿宋" w:cs="仿宋"/>
          <w:color w:val="000000"/>
          <w:sz w:val="31"/>
          <w:szCs w:val="31"/>
          <w:shd w:val="clear" w:color="auto" w:fill="FFFFFF"/>
        </w:rPr>
        <w:t>2022年度一般公共预算财政拨款支出年初预算为</w:t>
      </w:r>
      <w:r>
        <w:rPr>
          <w:rFonts w:hint="eastAsia" w:ascii="仿宋" w:hAnsi="仿宋" w:eastAsia="仿宋" w:cs="仿宋"/>
          <w:sz w:val="31"/>
          <w:szCs w:val="31"/>
        </w:rPr>
        <w:t>191.14</w:t>
      </w:r>
      <w:r>
        <w:rPr>
          <w:rFonts w:hint="eastAsia" w:ascii="仿宋" w:hAnsi="仿宋" w:eastAsia="仿宋" w:cs="仿宋"/>
          <w:color w:val="000000"/>
          <w:sz w:val="31"/>
          <w:szCs w:val="31"/>
          <w:shd w:val="clear" w:color="auto" w:fill="FFFFFF"/>
        </w:rPr>
        <w:t>万元，支出决算为</w:t>
      </w:r>
      <w:r>
        <w:rPr>
          <w:rFonts w:hint="eastAsia" w:ascii="仿宋" w:hAnsi="仿宋" w:eastAsia="仿宋" w:cs="仿宋"/>
          <w:sz w:val="31"/>
          <w:szCs w:val="31"/>
        </w:rPr>
        <w:t>191.14</w:t>
      </w:r>
      <w:r>
        <w:rPr>
          <w:rFonts w:hint="eastAsia" w:ascii="仿宋" w:hAnsi="仿宋" w:eastAsia="仿宋" w:cs="仿宋"/>
          <w:color w:val="000000"/>
          <w:sz w:val="31"/>
          <w:szCs w:val="31"/>
          <w:shd w:val="clear" w:color="auto" w:fill="FFFFFF"/>
        </w:rPr>
        <w:t>万元，完成年初预算的</w:t>
      </w:r>
      <w:r>
        <w:rPr>
          <w:rFonts w:hint="eastAsia" w:ascii="仿宋" w:hAnsi="仿宋" w:eastAsia="仿宋" w:cs="仿宋"/>
          <w:sz w:val="31"/>
          <w:szCs w:val="31"/>
        </w:rPr>
        <w:t>100.00%</w:t>
      </w:r>
      <w:r>
        <w:rPr>
          <w:rFonts w:hint="eastAsia" w:ascii="仿宋" w:hAnsi="仿宋" w:eastAsia="仿宋" w:cs="仿宋"/>
          <w:color w:val="000000"/>
          <w:sz w:val="31"/>
          <w:szCs w:val="31"/>
          <w:shd w:val="clear" w:color="auto" w:fill="FFFFFF"/>
        </w:rPr>
        <w:t>。</w:t>
      </w:r>
    </w:p>
    <w:p>
      <w:pPr>
        <w:jc w:val="left"/>
        <w:rPr>
          <w:rFonts w:hint="eastAsia" w:ascii="仿宋" w:hAnsi="仿宋" w:eastAsia="仿宋" w:cs="仿宋"/>
          <w:color w:val="000000"/>
          <w:kern w:val="0"/>
          <w:sz w:val="31"/>
          <w:szCs w:val="31"/>
          <w:shd w:val="clear" w:color="auto" w:fill="FFFFFF"/>
          <w:lang w:val="en-US" w:eastAsia="zh-CN" w:bidi="ar-SA"/>
        </w:rPr>
      </w:pPr>
      <w:r>
        <w:rPr>
          <w:rFonts w:ascii="仿宋" w:hAnsi="仿宋" w:eastAsia="仿宋" w:cs="仿宋"/>
          <w:color w:val="000000"/>
          <w:sz w:val="31"/>
          <w:u w:color="auto"/>
        </w:rPr>
        <w:t xml:space="preserve"> </w:t>
      </w:r>
    </w:p>
    <w:p>
      <w:pPr>
        <w:keepNext w:val="0"/>
        <w:keepLines w:val="0"/>
        <w:widowControl w:val="0"/>
        <w:numPr>
          <w:ilvl w:val="0"/>
          <w:numId w:val="0"/>
        </w:numPr>
        <w:suppressLineNumbers w:val="0"/>
        <w:spacing w:before="0" w:beforeAutospacing="0" w:after="0" w:afterAutospacing="0"/>
        <w:ind w:right="0" w:rightChars="0" w:firstLine="620" w:firstLineChars="200"/>
        <w:jc w:val="left"/>
        <w:rPr>
          <w:rFonts w:hint="eastAsia" w:ascii="仿宋" w:hAnsi="仿宋" w:eastAsia="仿宋" w:cs="仿宋"/>
          <w:color w:val="FF0000"/>
          <w:kern w:val="2"/>
          <w:sz w:val="31"/>
          <w:szCs w:val="31"/>
          <w:highlight w:val="none"/>
          <w:lang w:val="en-US" w:eastAsia="zh-CN" w:bidi="ar"/>
        </w:rPr>
      </w:pPr>
      <w:r>
        <w:rPr>
          <w:rFonts w:hint="eastAsia" w:ascii="仿宋" w:hAnsi="仿宋" w:eastAsia="仿宋" w:cs="仿宋"/>
          <w:color w:val="000000"/>
          <w:sz w:val="31"/>
          <w:u w:color="auto"/>
          <w:lang w:eastAsia="zh-CN"/>
        </w:rPr>
        <w:t>（</w:t>
      </w:r>
      <w:r>
        <w:rPr>
          <w:rFonts w:hint="eastAsia" w:ascii="仿宋" w:hAnsi="仿宋" w:eastAsia="仿宋" w:cs="仿宋"/>
          <w:color w:val="000000"/>
          <w:sz w:val="31"/>
          <w:u w:color="auto"/>
          <w:lang w:val="en-US" w:eastAsia="zh-CN"/>
        </w:rPr>
        <w:t>1</w:t>
      </w:r>
      <w:r>
        <w:rPr>
          <w:rFonts w:hint="eastAsia" w:ascii="仿宋" w:hAnsi="仿宋" w:eastAsia="仿宋" w:cs="仿宋"/>
          <w:color w:val="000000"/>
          <w:sz w:val="31"/>
          <w:u w:color="auto"/>
          <w:lang w:eastAsia="zh-CN"/>
        </w:rPr>
        <w:t>）</w:t>
      </w:r>
      <w:r>
        <w:rPr>
          <w:rFonts w:ascii="仿宋" w:hAnsi="仿宋" w:eastAsia="仿宋" w:cs="仿宋"/>
          <w:color w:val="000000"/>
          <w:sz w:val="31"/>
          <w:u w:color="auto"/>
        </w:rPr>
        <w:t>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事业单位离退休</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3.48</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4.56</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131.03%</w:t>
      </w:r>
      <w:r>
        <w:rPr>
          <w:rFonts w:hint="eastAsia" w:ascii="仿宋" w:hAnsi="仿宋" w:eastAsia="仿宋" w:cs="仿宋"/>
          <w:color w:val="000000"/>
          <w:sz w:val="31"/>
          <w:szCs w:val="31"/>
          <w:shd w:val="clear" w:color="auto" w:fill="FFFFFF"/>
        </w:rPr>
        <w:t>。</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原因是：2021年度部分</w:t>
      </w:r>
      <w:r>
        <w:rPr>
          <w:rFonts w:hint="eastAsia" w:ascii="仿宋" w:hAnsi="仿宋" w:eastAsia="仿宋" w:cs="仿宋"/>
          <w:color w:val="auto"/>
          <w:kern w:val="2"/>
          <w:sz w:val="31"/>
          <w:szCs w:val="31"/>
          <w:highlight w:val="none"/>
          <w:lang w:val="en-US" w:eastAsia="zh-CN" w:bidi="ar"/>
        </w:rPr>
        <w:t>物业补贴在2022年度发放。</w:t>
      </w:r>
    </w:p>
    <w:p>
      <w:pPr>
        <w:keepNext w:val="0"/>
        <w:keepLines w:val="0"/>
        <w:widowControl w:val="0"/>
        <w:numPr>
          <w:ilvl w:val="0"/>
          <w:numId w:val="0"/>
        </w:numPr>
        <w:suppressLineNumbers w:val="0"/>
        <w:spacing w:before="0" w:beforeAutospacing="0" w:after="0" w:afterAutospacing="0"/>
        <w:ind w:right="0" w:rightChars="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2)社会保障和就业支出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机关事业单位基本养老保险缴费支出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7.93</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7.93</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100.00%</w:t>
      </w:r>
      <w:r>
        <w:rPr>
          <w:rFonts w:hint="eastAsia" w:ascii="仿宋" w:hAnsi="仿宋" w:eastAsia="仿宋" w:cs="仿宋"/>
          <w:color w:val="000000"/>
          <w:sz w:val="31"/>
          <w:szCs w:val="31"/>
          <w:shd w:val="clear" w:color="auto" w:fill="FFFFFF"/>
        </w:rPr>
        <w:t>。</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w:t>
      </w:r>
      <w:r>
        <w:rPr>
          <w:rFonts w:hint="eastAsia" w:ascii="仿宋" w:hAnsi="仿宋" w:eastAsia="仿宋" w:cs="仿宋"/>
          <w:color w:val="auto"/>
          <w:kern w:val="2"/>
          <w:sz w:val="31"/>
          <w:szCs w:val="31"/>
          <w:highlight w:val="none"/>
          <w:lang w:val="en-US" w:eastAsia="zh-CN" w:bidi="ar"/>
        </w:rPr>
        <w:t>预决算无差异。</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3)社会保障和就业支出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机关事业单位职业年金缴费支出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0.00</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3.78</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w:t>
      </w:r>
      <w:r>
        <w:rPr>
          <w:rFonts w:hint="eastAsia" w:ascii="仿宋" w:hAnsi="仿宋" w:eastAsia="仿宋" w:cs="仿宋"/>
          <w:color w:val="000000"/>
          <w:sz w:val="31"/>
          <w:szCs w:val="31"/>
          <w:shd w:val="clear" w:color="auto" w:fill="FFFFFF"/>
        </w:rPr>
        <w:t>。</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原因是：退休人员追加职业年金，预算不要求列入。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4)社会保障和就业支出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烈士纪念设施管理维护</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0.00</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30.00</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w:t>
      </w:r>
      <w:r>
        <w:rPr>
          <w:rFonts w:hint="eastAsia" w:ascii="仿宋" w:hAnsi="仿宋" w:eastAsia="仿宋" w:cs="仿宋"/>
          <w:color w:val="000000"/>
          <w:sz w:val="31"/>
          <w:szCs w:val="31"/>
          <w:shd w:val="clear" w:color="auto" w:fill="FFFFFF"/>
        </w:rPr>
        <w:t>。</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w:t>
      </w:r>
      <w:r>
        <w:rPr>
          <w:rFonts w:hint="eastAsia" w:ascii="仿宋" w:hAnsi="仿宋" w:eastAsia="仿宋" w:cs="仿宋"/>
          <w:color w:val="auto"/>
          <w:kern w:val="2"/>
          <w:sz w:val="31"/>
          <w:szCs w:val="31"/>
          <w:highlight w:val="none"/>
          <w:lang w:val="en-US" w:eastAsia="zh-CN" w:bidi="ar"/>
        </w:rPr>
        <w:t>本部门2022年度</w:t>
      </w:r>
      <w:r>
        <w:rPr>
          <w:rFonts w:ascii="仿宋" w:hAnsi="仿宋" w:eastAsia="仿宋" w:cs="仿宋"/>
          <w:color w:val="auto"/>
          <w:sz w:val="31"/>
          <w:u w:color="auto"/>
        </w:rPr>
        <w:t>上级部门</w:t>
      </w:r>
      <w:r>
        <w:rPr>
          <w:rFonts w:hint="eastAsia" w:ascii="仿宋" w:hAnsi="仿宋" w:eastAsia="仿宋" w:cs="仿宋"/>
          <w:color w:val="auto"/>
          <w:sz w:val="31"/>
          <w:u w:color="auto"/>
          <w:lang w:eastAsia="zh-CN"/>
        </w:rPr>
        <w:t>安排优抚事业单位补助资金</w:t>
      </w:r>
      <w:r>
        <w:rPr>
          <w:rFonts w:hint="eastAsia" w:ascii="仿宋" w:hAnsi="仿宋" w:eastAsia="仿宋" w:cs="仿宋"/>
          <w:color w:val="auto"/>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5)社会保障和就业支出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其他优抚支出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101.54</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136.25</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134.18%</w:t>
      </w:r>
      <w:r>
        <w:rPr>
          <w:rFonts w:hint="eastAsia" w:ascii="仿宋" w:hAnsi="仿宋" w:eastAsia="仿宋" w:cs="仿宋"/>
          <w:color w:val="000000"/>
          <w:sz w:val="31"/>
          <w:szCs w:val="31"/>
          <w:shd w:val="clear" w:color="auto" w:fill="FFFFFF"/>
        </w:rPr>
        <w:t>。</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w:t>
      </w:r>
      <w:r>
        <w:rPr>
          <w:rFonts w:hint="eastAsia" w:ascii="仿宋" w:hAnsi="仿宋" w:eastAsia="仿宋" w:cs="仿宋"/>
          <w:color w:val="auto"/>
          <w:kern w:val="2"/>
          <w:sz w:val="31"/>
          <w:szCs w:val="31"/>
          <w:highlight w:val="none"/>
          <w:lang w:val="en-US" w:eastAsia="zh-CN" w:bidi="ar"/>
        </w:rPr>
        <w:t>增加</w:t>
      </w:r>
      <w:r>
        <w:rPr>
          <w:rFonts w:ascii="仿宋" w:hAnsi="仿宋" w:eastAsia="仿宋" w:cs="仿宋"/>
          <w:color w:val="auto"/>
          <w:sz w:val="31"/>
          <w:u w:color="auto"/>
        </w:rPr>
        <w:t>上级部门</w:t>
      </w:r>
      <w:r>
        <w:rPr>
          <w:rFonts w:hint="eastAsia" w:ascii="仿宋" w:hAnsi="仿宋" w:eastAsia="仿宋" w:cs="仿宋"/>
          <w:color w:val="auto"/>
          <w:sz w:val="31"/>
          <w:u w:color="auto"/>
          <w:lang w:eastAsia="zh-CN"/>
        </w:rPr>
        <w:t>安排优抚事业单位补助资金的支出以及瞻仰接待服务收入安排的支出。</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kern w:val="2"/>
          <w:sz w:val="31"/>
          <w:szCs w:val="31"/>
          <w:highlight w:val="none"/>
          <w:lang w:val="en-US" w:eastAsia="zh-CN" w:bidi="ar"/>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6)卫生健康支出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卫生健康支出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事业单位医疗</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2.25</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2.40</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106.67%</w:t>
      </w:r>
      <w:r>
        <w:rPr>
          <w:rFonts w:hint="eastAsia" w:ascii="仿宋" w:hAnsi="仿宋" w:eastAsia="仿宋" w:cs="仿宋"/>
          <w:color w:val="000000"/>
          <w:sz w:val="31"/>
          <w:szCs w:val="31"/>
          <w:shd w:val="clear" w:color="auto" w:fill="FFFFFF"/>
        </w:rPr>
        <w:t>。</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w:t>
      </w:r>
      <w:r>
        <w:rPr>
          <w:rFonts w:hint="eastAsia" w:ascii="仿宋" w:hAnsi="仿宋" w:eastAsia="仿宋" w:cs="仿宋"/>
          <w:color w:val="auto"/>
          <w:kern w:val="2"/>
          <w:sz w:val="31"/>
          <w:szCs w:val="31"/>
          <w:highlight w:val="none"/>
          <w:lang w:val="en-US" w:eastAsia="zh-CN" w:bidi="ar"/>
        </w:rPr>
        <w:t>医疗保险年度缴费基数调整导致增加。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kern w:val="2"/>
          <w:sz w:val="31"/>
          <w:szCs w:val="31"/>
          <w:highlight w:val="none"/>
          <w:lang w:val="en-US" w:eastAsia="zh-CN" w:bidi="ar"/>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7)住房保障支出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住房保障支出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住房公积金</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5.95</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6.21</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104.37%</w:t>
      </w:r>
      <w:r>
        <w:rPr>
          <w:rFonts w:hint="eastAsia" w:ascii="仿宋" w:hAnsi="仿宋" w:eastAsia="仿宋" w:cs="仿宋"/>
          <w:color w:val="000000"/>
          <w:sz w:val="31"/>
          <w:szCs w:val="31"/>
          <w:shd w:val="clear" w:color="auto" w:fill="FFFFFF"/>
        </w:rPr>
        <w:t>。</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原因是：住房公积金</w:t>
      </w:r>
      <w:r>
        <w:rPr>
          <w:rFonts w:hint="eastAsia" w:ascii="仿宋" w:hAnsi="仿宋" w:eastAsia="仿宋" w:cs="仿宋"/>
          <w:color w:val="auto"/>
          <w:kern w:val="2"/>
          <w:sz w:val="31"/>
          <w:szCs w:val="31"/>
          <w:highlight w:val="none"/>
          <w:lang w:val="en-US" w:eastAsia="zh-CN" w:bidi="ar"/>
        </w:rPr>
        <w:t>年度缴费基数调整导致增加。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p>
    <w:p>
      <w:pPr>
        <w:pStyle w:val="6"/>
        <w:widowControl/>
        <w:spacing w:before="450" w:beforeAutospacing="0" w:after="450" w:afterAutospacing="0" w:line="420" w:lineRule="atLeast"/>
        <w:ind w:firstLine="645"/>
        <w:rPr>
          <w:color w:val="000000"/>
          <w:sz w:val="32"/>
          <w:szCs w:val="32"/>
        </w:rPr>
      </w:pPr>
      <w:r>
        <w:rPr>
          <w:rFonts w:hint="eastAsia" w:ascii="黑体" w:hAnsi="宋体" w:eastAsia="黑体" w:cs="黑体"/>
          <w:color w:val="000000"/>
          <w:sz w:val="32"/>
          <w:szCs w:val="32"/>
          <w:shd w:val="clear" w:color="auto" w:fill="FFFFFF"/>
        </w:rPr>
        <w:t>三、2022年度一般公共预算财政拨款基本支出决算情况说明</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2022年度一般公共预算财政拨款基本支出</w:t>
      </w:r>
      <w:r>
        <w:rPr>
          <w:rFonts w:hint="eastAsia" w:ascii="仿宋" w:hAnsi="仿宋" w:eastAsia="仿宋" w:cs="仿宋"/>
          <w:sz w:val="31"/>
          <w:szCs w:val="31"/>
        </w:rPr>
        <w:t>86.77</w:t>
      </w:r>
      <w:r>
        <w:rPr>
          <w:rFonts w:hint="eastAsia" w:ascii="仿宋" w:hAnsi="仿宋" w:eastAsia="仿宋" w:cs="仿宋"/>
          <w:color w:val="000000"/>
          <w:sz w:val="31"/>
          <w:szCs w:val="31"/>
          <w:shd w:val="clear" w:color="auto" w:fill="FFFFFF"/>
        </w:rPr>
        <w:t>万元，其中：人员经费支出</w:t>
      </w:r>
      <w:r>
        <w:rPr>
          <w:rFonts w:hint="eastAsia" w:ascii="仿宋" w:hAnsi="仿宋" w:eastAsia="仿宋" w:cs="仿宋"/>
          <w:sz w:val="31"/>
          <w:szCs w:val="31"/>
        </w:rPr>
        <w:t>81.28</w:t>
      </w:r>
      <w:r>
        <w:rPr>
          <w:rFonts w:hint="eastAsia" w:ascii="仿宋" w:hAnsi="仿宋" w:eastAsia="仿宋" w:cs="仿宋"/>
          <w:color w:val="000000"/>
          <w:sz w:val="31"/>
          <w:szCs w:val="31"/>
          <w:shd w:val="clear" w:color="auto" w:fill="FFFFFF"/>
        </w:rPr>
        <w:t>万元，公用经费支出</w:t>
      </w:r>
      <w:r>
        <w:rPr>
          <w:rFonts w:hint="eastAsia" w:ascii="仿宋" w:hAnsi="仿宋" w:eastAsia="仿宋" w:cs="仿宋"/>
          <w:sz w:val="31"/>
          <w:szCs w:val="31"/>
        </w:rPr>
        <w:t>5.49</w:t>
      </w:r>
      <w:r>
        <w:rPr>
          <w:rFonts w:hint="eastAsia" w:ascii="仿宋" w:hAnsi="仿宋" w:eastAsia="仿宋" w:cs="仿宋"/>
          <w:color w:val="000000"/>
          <w:sz w:val="31"/>
          <w:szCs w:val="31"/>
          <w:shd w:val="clear" w:color="auto" w:fill="FFFFFF"/>
        </w:rPr>
        <w:t>万元，支出具体情况如下：</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1)工资福利支出76.72万元，完成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164.39%，</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原因是：人员绩效</w:t>
      </w:r>
      <w:r>
        <w:rPr>
          <w:rFonts w:hint="eastAsia" w:ascii="仿宋" w:hAnsi="仿宋" w:eastAsia="仿宋" w:cs="仿宋"/>
          <w:color w:val="auto"/>
          <w:kern w:val="2"/>
          <w:sz w:val="31"/>
          <w:szCs w:val="31"/>
          <w:highlight w:val="none"/>
          <w:lang w:val="en-US" w:eastAsia="zh-CN" w:bidi="ar"/>
        </w:rPr>
        <w:t>考评奖，预算不要求列入。</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r>
        <w:rPr>
          <w:rFonts w:ascii="仿宋" w:hAnsi="仿宋" w:eastAsia="仿宋" w:cs="仿宋"/>
          <w:color w:val="000000"/>
          <w:sz w:val="31"/>
          <w:u w:color="auto"/>
        </w:rPr>
        <w:t>30101基本工资19.52万元，30102津贴补贴2.77万元，30103奖金13.05万元，30107绩效工资21.06万元，30108机关事业单位基本养老保险缴费7.93万元，30109职业年金缴费3.78万元，30110职工基本医疗保险缴费2.22万元，30112其他社会保障缴费0.18万元，30113住房公积金6.21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2)商品和服务支出5.49万元，完成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90.59%，</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w:t>
      </w:r>
      <w:r>
        <w:rPr>
          <w:rFonts w:hint="eastAsia" w:ascii="仿宋" w:hAnsi="仿宋" w:eastAsia="仿宋" w:cs="仿宋"/>
          <w:color w:val="auto"/>
          <w:kern w:val="2"/>
          <w:sz w:val="31"/>
          <w:szCs w:val="31"/>
          <w:highlight w:val="none"/>
          <w:lang w:val="en-US" w:eastAsia="zh-CN" w:bidi="ar"/>
        </w:rPr>
        <w:t>经费压减。</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r>
        <w:rPr>
          <w:rFonts w:ascii="仿宋" w:hAnsi="仿宋" w:eastAsia="仿宋" w:cs="仿宋"/>
          <w:color w:val="000000"/>
          <w:sz w:val="31"/>
          <w:u w:color="auto"/>
        </w:rPr>
        <w:t>30201办公费0.81万元，30205水费0.85万元，30206电费1.15万元，30207邮电费0.46万元，30211差旅费0.24万元，30216培训费0.04万元，30229福利费0.25万元，30299其他商品和服务支出1.70万元。</w:t>
      </w:r>
    </w:p>
    <w:p>
      <w:pPr>
        <w:keepNext w:val="0"/>
        <w:keepLines w:val="0"/>
        <w:widowControl w:val="0"/>
        <w:numPr>
          <w:ilvl w:val="0"/>
          <w:numId w:val="0"/>
        </w:numPr>
        <w:suppressLineNumbers w:val="0"/>
        <w:spacing w:before="0" w:beforeAutospacing="0" w:after="0" w:afterAutospacing="0"/>
        <w:ind w:right="0" w:rightChars="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3)对个人和家庭的补助4.56万元，完成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133.33%，</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原因是：2021年度部分</w:t>
      </w:r>
      <w:r>
        <w:rPr>
          <w:rFonts w:hint="eastAsia" w:ascii="仿宋" w:hAnsi="仿宋" w:eastAsia="仿宋" w:cs="仿宋"/>
          <w:color w:val="auto"/>
          <w:kern w:val="2"/>
          <w:sz w:val="31"/>
          <w:szCs w:val="31"/>
          <w:highlight w:val="none"/>
          <w:lang w:val="en-US" w:eastAsia="zh-CN" w:bidi="ar"/>
        </w:rPr>
        <w:t>物业补贴在2022年度发放。</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r>
        <w:rPr>
          <w:rFonts w:ascii="仿宋" w:hAnsi="仿宋" w:eastAsia="仿宋" w:cs="仿宋"/>
          <w:color w:val="000000"/>
          <w:sz w:val="31"/>
          <w:u w:color="auto"/>
        </w:rPr>
        <w:t>30302退休费4.56万元。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lang w:val="en-US" w:eastAsia="zh-CN"/>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4)债务利息及费用支出0.00万元，完成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0%，</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原因是：本部门2022年度没有</w:t>
      </w:r>
      <w:r>
        <w:rPr>
          <w:rFonts w:ascii="仿宋" w:hAnsi="仿宋" w:eastAsia="仿宋" w:cs="仿宋"/>
          <w:color w:val="000000"/>
          <w:sz w:val="31"/>
          <w:u w:color="auto"/>
        </w:rPr>
        <w:t>债务利息及费用支出</w:t>
      </w:r>
      <w:r>
        <w:rPr>
          <w:rFonts w:hint="eastAsia" w:ascii="仿宋" w:hAnsi="仿宋" w:eastAsia="仿宋" w:cs="仿宋"/>
          <w:color w:val="000000"/>
          <w:sz w:val="31"/>
          <w:u w:color="auto"/>
          <w:lang w:eastAsia="zh-CN"/>
        </w:rPr>
        <w:t>。</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5)资本性支出0.00万元，完成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0%，</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原因是：本部门2022年度没有</w:t>
      </w:r>
      <w:r>
        <w:rPr>
          <w:rFonts w:ascii="仿宋" w:hAnsi="仿宋" w:eastAsia="仿宋" w:cs="仿宋"/>
          <w:color w:val="000000"/>
          <w:sz w:val="31"/>
          <w:u w:color="auto"/>
        </w:rPr>
        <w:t>资本性支出</w:t>
      </w:r>
      <w:r>
        <w:rPr>
          <w:rFonts w:hint="eastAsia" w:ascii="仿宋" w:hAnsi="仿宋" w:eastAsia="仿宋" w:cs="仿宋"/>
          <w:color w:val="000000"/>
          <w:sz w:val="31"/>
          <w:u w:color="auto"/>
          <w:lang w:eastAsia="zh-CN"/>
        </w:rPr>
        <w:t>。</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6)其他支出0.00万元，完成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0%，</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原因是：本部门2022年度没有</w:t>
      </w:r>
      <w:r>
        <w:rPr>
          <w:rFonts w:ascii="仿宋" w:hAnsi="仿宋" w:eastAsia="仿宋" w:cs="仿宋"/>
          <w:color w:val="000000"/>
          <w:sz w:val="31"/>
          <w:u w:color="auto"/>
        </w:rPr>
        <w:t>其他支出</w:t>
      </w:r>
      <w:r>
        <w:rPr>
          <w:rFonts w:hint="eastAsia" w:ascii="仿宋" w:hAnsi="仿宋" w:eastAsia="仿宋" w:cs="仿宋"/>
          <w:color w:val="000000"/>
          <w:sz w:val="31"/>
          <w:u w:color="auto"/>
          <w:lang w:eastAsia="zh-CN"/>
        </w:rPr>
        <w:t>。</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四、2022年度政府性基金支出决算情况</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i w:val="0"/>
          <w:iCs w:val="0"/>
          <w:color w:val="000000"/>
          <w:sz w:val="31"/>
          <w:szCs w:val="31"/>
          <w:u w:val="single"/>
          <w:shd w:val="clear" w:color="auto" w:fill="FFFFFF"/>
        </w:rPr>
        <w:t>百色起义纪念碑园</w:t>
      </w:r>
      <w:r>
        <w:rPr>
          <w:rFonts w:hint="eastAsia" w:ascii="仿宋" w:hAnsi="仿宋" w:eastAsia="仿宋" w:cs="仿宋"/>
          <w:i w:val="0"/>
          <w:iCs w:val="0"/>
          <w:kern w:val="0"/>
          <w:sz w:val="31"/>
          <w:szCs w:val="31"/>
        </w:rPr>
        <w:t>2022年度政府性基</w:t>
      </w:r>
      <w:r>
        <w:rPr>
          <w:rFonts w:hint="eastAsia" w:ascii="仿宋" w:hAnsi="仿宋" w:eastAsia="仿宋" w:cs="仿宋"/>
          <w:kern w:val="0"/>
          <w:sz w:val="31"/>
          <w:szCs w:val="31"/>
        </w:rPr>
        <w:t>金支出</w:t>
      </w:r>
      <w:r>
        <w:rPr>
          <w:rFonts w:ascii="仿宋" w:hAnsi="仿宋" w:eastAsia="仿宋" w:cs="仿宋"/>
          <w:sz w:val="31"/>
          <w:u w:color="auto"/>
        </w:rPr>
        <w:t>0.00万元，较2021年度决算数增加0.00万元，增长0%。其中：基本支出0.00万元，项目支出0.00万元。</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color w:val="000000"/>
          <w:sz w:val="31"/>
          <w:szCs w:val="31"/>
          <w:u w:val="single"/>
          <w:shd w:val="clear" w:color="auto" w:fill="FFFFFF"/>
        </w:rPr>
        <w:t>百色起义纪念碑园</w:t>
      </w:r>
      <w:r>
        <w:rPr>
          <w:rFonts w:hint="eastAsia" w:ascii="仿宋" w:hAnsi="仿宋" w:eastAsia="仿宋" w:cs="仿宋"/>
          <w:kern w:val="0"/>
          <w:sz w:val="31"/>
          <w:szCs w:val="31"/>
        </w:rPr>
        <w:t>2022 年度政府性基金支出年初预算为</w:t>
      </w:r>
      <w:r>
        <w:rPr>
          <w:rFonts w:ascii="仿宋" w:hAnsi="仿宋" w:eastAsia="仿宋" w:cs="仿宋"/>
          <w:sz w:val="31"/>
          <w:u w:color="auto"/>
        </w:rPr>
        <w:t>0.00万元，支出决算为0.00万元，完成年初预算的0%。</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五、2022年度国有资本经营预算支出决算情况</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color w:val="000000"/>
          <w:sz w:val="31"/>
          <w:szCs w:val="31"/>
          <w:u w:val="single"/>
          <w:shd w:val="clear" w:color="auto" w:fill="FFFFFF"/>
        </w:rPr>
        <w:t>百色起义纪念碑园</w:t>
      </w:r>
      <w:r>
        <w:rPr>
          <w:rFonts w:hint="eastAsia" w:ascii="仿宋" w:hAnsi="仿宋" w:eastAsia="仿宋" w:cs="仿宋"/>
          <w:kern w:val="0"/>
          <w:sz w:val="31"/>
          <w:szCs w:val="31"/>
        </w:rPr>
        <w:t>2022年度国有资本经营预算支出</w:t>
      </w:r>
      <w:r>
        <w:rPr>
          <w:rFonts w:hint="eastAsia" w:ascii="仿宋" w:hAnsi="仿宋" w:eastAsia="仿宋" w:cs="仿宋"/>
          <w:sz w:val="31"/>
          <w:szCs w:val="31"/>
        </w:rPr>
        <w:t>0.00</w:t>
      </w:r>
      <w:r>
        <w:rPr>
          <w:rFonts w:hint="eastAsia" w:ascii="仿宋" w:hAnsi="仿宋" w:eastAsia="仿宋" w:cs="仿宋"/>
          <w:kern w:val="0"/>
          <w:sz w:val="31"/>
          <w:szCs w:val="31"/>
        </w:rPr>
        <w:t>万元。其中：基本支出</w:t>
      </w:r>
      <w:r>
        <w:rPr>
          <w:rFonts w:hint="eastAsia" w:ascii="仿宋" w:hAnsi="仿宋" w:eastAsia="仿宋" w:cs="仿宋"/>
          <w:sz w:val="31"/>
          <w:szCs w:val="31"/>
        </w:rPr>
        <w:t>0.00</w:t>
      </w:r>
      <w:r>
        <w:rPr>
          <w:rFonts w:hint="eastAsia" w:ascii="仿宋" w:hAnsi="仿宋" w:eastAsia="仿宋" w:cs="仿宋"/>
          <w:kern w:val="0"/>
          <w:sz w:val="31"/>
          <w:szCs w:val="31"/>
        </w:rPr>
        <w:t>万元，项目支出</w:t>
      </w:r>
      <w:r>
        <w:rPr>
          <w:rFonts w:hint="eastAsia" w:ascii="仿宋" w:hAnsi="仿宋" w:eastAsia="仿宋" w:cs="仿宋"/>
          <w:sz w:val="31"/>
          <w:szCs w:val="31"/>
        </w:rPr>
        <w:t>0.00</w:t>
      </w:r>
      <w:r>
        <w:rPr>
          <w:rFonts w:hint="eastAsia" w:ascii="仿宋" w:hAnsi="仿宋" w:eastAsia="仿宋" w:cs="仿宋"/>
          <w:kern w:val="0"/>
          <w:sz w:val="31"/>
          <w:szCs w:val="31"/>
        </w:rPr>
        <w:t>万元。</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color w:val="000000"/>
          <w:sz w:val="31"/>
          <w:szCs w:val="31"/>
          <w:u w:val="single"/>
          <w:shd w:val="clear" w:color="auto" w:fill="FFFFFF"/>
        </w:rPr>
        <w:t>百色起义纪念碑园</w:t>
      </w:r>
      <w:r>
        <w:rPr>
          <w:rFonts w:hint="eastAsia" w:ascii="仿宋" w:hAnsi="仿宋" w:eastAsia="仿宋" w:cs="仿宋"/>
          <w:kern w:val="0"/>
          <w:sz w:val="31"/>
          <w:szCs w:val="31"/>
        </w:rPr>
        <w:t>2022 年度国有资本经营预算支出年初预算为</w:t>
      </w:r>
      <w:r>
        <w:rPr>
          <w:rFonts w:ascii="仿宋" w:hAnsi="仿宋" w:eastAsia="仿宋" w:cs="仿宋"/>
          <w:sz w:val="31"/>
          <w:u w:color="auto"/>
        </w:rPr>
        <w:t>0.00万元，支出决算为0.00万元，完成年初预算的0%</w:t>
      </w:r>
      <w:r>
        <w:rPr>
          <w:rFonts w:hint="eastAsia" w:ascii="仿宋" w:hAnsi="仿宋" w:eastAsia="仿宋" w:cs="仿宋"/>
          <w:kern w:val="0"/>
          <w:sz w:val="31"/>
          <w:szCs w:val="31"/>
        </w:rPr>
        <w:t>。</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auto"/>
          <w:kern w:val="0"/>
          <w:sz w:val="31"/>
          <w:szCs w:val="31"/>
        </w:rPr>
      </w:pPr>
      <w:r>
        <w:rPr>
          <w:rFonts w:hint="eastAsia" w:ascii="仿宋" w:hAnsi="仿宋" w:eastAsia="仿宋" w:cs="仿宋"/>
          <w:b w:val="0"/>
          <w:bCs w:val="0"/>
          <w:color w:val="auto"/>
          <w:kern w:val="0"/>
          <w:sz w:val="31"/>
          <w:szCs w:val="31"/>
          <w:lang w:val="en-US" w:eastAsia="zh-CN" w:bidi="ar"/>
        </w:rPr>
        <w:t>主要原因为：本部门2022年度没有</w:t>
      </w:r>
      <w:r>
        <w:rPr>
          <w:rFonts w:hint="eastAsia" w:ascii="仿宋" w:hAnsi="仿宋" w:eastAsia="仿宋" w:cs="仿宋"/>
          <w:b w:val="0"/>
          <w:bCs w:val="0"/>
          <w:color w:val="auto"/>
          <w:kern w:val="0"/>
          <w:sz w:val="31"/>
          <w:szCs w:val="31"/>
          <w:lang w:val="en-US" w:eastAsia="zh-CN" w:bidi="ar"/>
        </w:rPr>
        <w:t>国有资本经营预算财政拨款收入，也没有</w:t>
      </w:r>
      <w:r>
        <w:rPr>
          <w:rFonts w:hint="eastAsia" w:ascii="仿宋" w:hAnsi="仿宋" w:eastAsia="仿宋" w:cs="仿宋"/>
          <w:b w:val="0"/>
          <w:bCs w:val="0"/>
          <w:color w:val="auto"/>
          <w:kern w:val="0"/>
          <w:sz w:val="31"/>
          <w:szCs w:val="31"/>
          <w:lang w:val="en-US" w:eastAsia="zh-CN" w:bidi="ar"/>
        </w:rPr>
        <w:t>国有资本经营预算财政拨款安排的支出，故无数据情况说明。</w:t>
      </w:r>
      <w:r>
        <w:rPr>
          <w:rFonts w:hint="eastAsia" w:ascii="仿宋" w:hAnsi="仿宋" w:eastAsia="仿宋" w:cs="仿宋"/>
          <w:color w:val="auto"/>
          <w:kern w:val="0"/>
          <w:sz w:val="31"/>
          <w:szCs w:val="31"/>
          <w:lang w:val="en-US" w:eastAsia="zh-CN" w:bidi="ar"/>
        </w:rPr>
        <w:t xml:space="preserve"> </w:t>
      </w:r>
    </w:p>
    <w:p>
      <w:pPr>
        <w:autoSpaceDE w:val="0"/>
        <w:autoSpaceDN w:val="0"/>
        <w:adjustRightInd w:val="0"/>
        <w:spacing w:line="560" w:lineRule="exact"/>
        <w:ind w:firstLine="640" w:firstLineChars="200"/>
        <w:jc w:val="left"/>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六、</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公共预算财政拨款安排的“三公”经费支出决算情况说明</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2022年度</w:t>
      </w:r>
      <w:r>
        <w:rPr>
          <w:rFonts w:hint="eastAsia" w:ascii="仿宋" w:hAnsi="仿宋" w:eastAsia="仿宋" w:cs="仿宋"/>
          <w:color w:val="auto"/>
          <w:sz w:val="31"/>
          <w:szCs w:val="31"/>
        </w:rPr>
        <w:t>一般</w:t>
      </w:r>
      <w:r>
        <w:rPr>
          <w:rFonts w:hint="eastAsia" w:ascii="仿宋" w:hAnsi="仿宋" w:eastAsia="仿宋" w:cs="仿宋"/>
          <w:color w:val="auto"/>
          <w:kern w:val="0"/>
          <w:sz w:val="31"/>
          <w:szCs w:val="31"/>
        </w:rPr>
        <w:t>公共预算财政拨款安排的“三公”经费支出</w:t>
      </w:r>
      <w:r>
        <w:rPr>
          <w:rFonts w:ascii="仿宋" w:hAnsi="仿宋" w:eastAsia="仿宋" w:cs="仿宋"/>
          <w:color w:val="auto"/>
          <w:sz w:val="31"/>
          <w:u w:color="auto"/>
        </w:rPr>
        <w:t>0.00万元，完成年初预算的0%</w:t>
      </w:r>
      <w:r>
        <w:rPr>
          <w:rFonts w:hint="eastAsia" w:ascii="仿宋" w:hAnsi="仿宋" w:eastAsia="仿宋" w:cs="仿宋"/>
          <w:color w:val="auto"/>
          <w:kern w:val="0"/>
          <w:sz w:val="31"/>
          <w:szCs w:val="31"/>
        </w:rPr>
        <w:t>，比上年</w:t>
      </w:r>
      <w:r>
        <w:rPr>
          <w:rFonts w:ascii="仿宋" w:hAnsi="仿宋" w:eastAsia="仿宋" w:cs="仿宋"/>
          <w:color w:val="auto"/>
          <w:sz w:val="31"/>
          <w:u w:color="auto"/>
        </w:rPr>
        <w:t>增加0.00万元，</w:t>
      </w:r>
      <w:r>
        <w:rPr>
          <w:rFonts w:hint="eastAsia" w:ascii="仿宋" w:hAnsi="仿宋" w:eastAsia="仿宋" w:cs="仿宋"/>
          <w:color w:val="auto"/>
          <w:kern w:val="2"/>
          <w:sz w:val="31"/>
          <w:szCs w:val="31"/>
          <w:highlight w:val="none"/>
          <w:lang w:val="en-US" w:eastAsia="zh-CN" w:bidi="ar"/>
        </w:rPr>
        <w:t>原因是：</w:t>
      </w:r>
      <w:r>
        <w:rPr>
          <w:rFonts w:hint="eastAsia" w:ascii="仿宋" w:hAnsi="仿宋" w:eastAsia="仿宋" w:cs="仿宋"/>
          <w:color w:val="auto"/>
          <w:sz w:val="31"/>
          <w:szCs w:val="31"/>
          <w:highlight w:val="none"/>
          <w:lang w:val="en-US" w:eastAsia="zh-CN"/>
        </w:rPr>
        <w:t>本部门2022年度没有</w:t>
      </w:r>
      <w:r>
        <w:rPr>
          <w:rFonts w:hint="eastAsia" w:ascii="仿宋" w:hAnsi="仿宋" w:eastAsia="仿宋" w:cs="仿宋"/>
          <w:color w:val="auto"/>
          <w:sz w:val="31"/>
          <w:szCs w:val="31"/>
        </w:rPr>
        <w:t>一般</w:t>
      </w:r>
      <w:r>
        <w:rPr>
          <w:rFonts w:hint="eastAsia" w:ascii="仿宋" w:hAnsi="仿宋" w:eastAsia="仿宋" w:cs="仿宋"/>
          <w:color w:val="auto"/>
          <w:kern w:val="0"/>
          <w:sz w:val="31"/>
          <w:szCs w:val="31"/>
        </w:rPr>
        <w:t>公共预算财政拨款安排的“三公”经费支出</w:t>
      </w:r>
      <w:r>
        <w:rPr>
          <w:rFonts w:hint="eastAsia" w:ascii="仿宋" w:hAnsi="仿宋" w:eastAsia="仿宋" w:cs="仿宋"/>
          <w:color w:val="auto"/>
          <w:kern w:val="0"/>
          <w:sz w:val="31"/>
          <w:szCs w:val="31"/>
          <w:lang w:eastAsia="zh-CN"/>
        </w:rPr>
        <w:t>。</w:t>
      </w:r>
      <w:r>
        <w:rPr>
          <w:rFonts w:hint="eastAsia" w:ascii="仿宋" w:hAnsi="仿宋" w:eastAsia="仿宋" w:cs="仿宋"/>
          <w:color w:val="auto"/>
          <w:kern w:val="0"/>
          <w:sz w:val="31"/>
          <w:szCs w:val="31"/>
        </w:rPr>
        <w:t>其中：因公出国（境）费支出决算</w:t>
      </w:r>
      <w:r>
        <w:rPr>
          <w:rFonts w:ascii="仿宋" w:hAnsi="仿宋" w:eastAsia="仿宋" w:cs="仿宋"/>
          <w:color w:val="auto"/>
          <w:sz w:val="31"/>
          <w:u w:color="auto"/>
        </w:rPr>
        <w:t>0.00万元，公务用车购置及运行费支出决算0.00万元，公务接待费支出决算0.00万元。</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具体情况如下：</w:t>
      </w:r>
    </w:p>
    <w:p>
      <w:pPr>
        <w:autoSpaceDE w:val="0"/>
        <w:autoSpaceDN w:val="0"/>
        <w:adjustRightInd w:val="0"/>
        <w:spacing w:line="560" w:lineRule="exact"/>
        <w:ind w:firstLine="620" w:firstLineChars="200"/>
        <w:jc w:val="left"/>
        <w:rPr>
          <w:rFonts w:hint="eastAsia" w:ascii="仿宋" w:hAnsi="仿宋" w:eastAsia="仿宋" w:cs="仿宋"/>
          <w:bCs/>
          <w:color w:val="auto"/>
          <w:sz w:val="31"/>
          <w:szCs w:val="31"/>
          <w:lang w:eastAsia="zh-CN"/>
        </w:rPr>
      </w:pPr>
      <w:r>
        <w:rPr>
          <w:rFonts w:hint="eastAsia" w:ascii="仿宋" w:hAnsi="仿宋" w:eastAsia="仿宋" w:cs="仿宋"/>
          <w:color w:val="auto"/>
          <w:kern w:val="0"/>
          <w:sz w:val="31"/>
          <w:szCs w:val="31"/>
        </w:rPr>
        <w:t>（一）因公出国（境）费支出</w:t>
      </w:r>
      <w:r>
        <w:rPr>
          <w:rFonts w:ascii="仿宋" w:hAnsi="仿宋" w:eastAsia="仿宋" w:cs="仿宋"/>
          <w:color w:val="auto"/>
          <w:sz w:val="31"/>
          <w:u w:color="auto"/>
        </w:rPr>
        <w:t>0.00万元，完成年初预算的0%</w:t>
      </w:r>
      <w:r>
        <w:rPr>
          <w:rFonts w:hint="eastAsia" w:ascii="仿宋" w:hAnsi="仿宋" w:eastAsia="仿宋" w:cs="仿宋"/>
          <w:color w:val="auto"/>
          <w:kern w:val="0"/>
          <w:sz w:val="31"/>
          <w:szCs w:val="31"/>
        </w:rPr>
        <w:t>，比上年</w:t>
      </w:r>
      <w:r>
        <w:rPr>
          <w:rFonts w:ascii="仿宋" w:hAnsi="仿宋" w:eastAsia="仿宋" w:cs="仿宋"/>
          <w:color w:val="auto"/>
          <w:sz w:val="31"/>
          <w:u w:color="auto"/>
        </w:rPr>
        <w:t>增加0.00万元，</w:t>
      </w:r>
      <w:r>
        <w:rPr>
          <w:rFonts w:hint="eastAsia" w:ascii="仿宋" w:hAnsi="仿宋" w:eastAsia="仿宋" w:cs="仿宋"/>
          <w:color w:val="auto"/>
          <w:kern w:val="2"/>
          <w:sz w:val="31"/>
          <w:szCs w:val="31"/>
          <w:highlight w:val="none"/>
          <w:lang w:val="en-US" w:eastAsia="zh-CN" w:bidi="ar"/>
        </w:rPr>
        <w:t>原因是：</w:t>
      </w:r>
      <w:r>
        <w:rPr>
          <w:rFonts w:hint="eastAsia" w:ascii="仿宋" w:hAnsi="仿宋" w:eastAsia="仿宋" w:cs="仿宋"/>
          <w:color w:val="auto"/>
          <w:sz w:val="31"/>
          <w:szCs w:val="31"/>
          <w:highlight w:val="none"/>
          <w:lang w:val="en-US" w:eastAsia="zh-CN"/>
        </w:rPr>
        <w:t>本部门2022年度没有</w:t>
      </w:r>
      <w:r>
        <w:rPr>
          <w:rFonts w:hint="eastAsia" w:ascii="仿宋" w:hAnsi="仿宋" w:eastAsia="仿宋" w:cs="仿宋"/>
          <w:color w:val="auto"/>
          <w:kern w:val="0"/>
          <w:sz w:val="31"/>
          <w:szCs w:val="31"/>
        </w:rPr>
        <w:t>因公出国（境）费支出</w:t>
      </w:r>
      <w:r>
        <w:rPr>
          <w:rFonts w:hint="eastAsia" w:ascii="仿宋" w:hAnsi="仿宋" w:eastAsia="仿宋" w:cs="仿宋"/>
          <w:color w:val="auto"/>
          <w:kern w:val="0"/>
          <w:sz w:val="31"/>
          <w:szCs w:val="31"/>
          <w:lang w:eastAsia="zh-CN"/>
        </w:rPr>
        <w:t>。</w:t>
      </w:r>
      <w:r>
        <w:rPr>
          <w:rFonts w:hint="eastAsia" w:ascii="仿宋" w:hAnsi="仿宋" w:eastAsia="仿宋" w:cs="仿宋"/>
          <w:color w:val="auto"/>
          <w:kern w:val="0"/>
          <w:sz w:val="31"/>
          <w:szCs w:val="31"/>
        </w:rPr>
        <w:t>全年使用财政拨款安排</w:t>
      </w:r>
      <w:r>
        <w:rPr>
          <w:rFonts w:hint="eastAsia" w:ascii="仿宋" w:hAnsi="仿宋" w:eastAsia="仿宋" w:cs="仿宋"/>
          <w:bCs/>
          <w:color w:val="auto"/>
          <w:sz w:val="31"/>
          <w:szCs w:val="31"/>
          <w:u w:val="single"/>
        </w:rPr>
        <w:t xml:space="preserve"> </w:t>
      </w:r>
      <w:r>
        <w:rPr>
          <w:rFonts w:hint="eastAsia" w:ascii="仿宋" w:hAnsi="仿宋" w:eastAsia="仿宋" w:cs="仿宋"/>
          <w:bCs/>
          <w:color w:val="auto"/>
          <w:sz w:val="31"/>
          <w:szCs w:val="31"/>
          <w:u w:val="single"/>
          <w:lang w:val="en-US" w:eastAsia="zh-CN"/>
        </w:rPr>
        <w:t>0个</w:t>
      </w:r>
      <w:r>
        <w:rPr>
          <w:rFonts w:hint="eastAsia" w:ascii="仿宋" w:hAnsi="仿宋" w:eastAsia="仿宋" w:cs="仿宋"/>
          <w:bCs/>
          <w:color w:val="auto"/>
          <w:sz w:val="31"/>
          <w:szCs w:val="31"/>
          <w:u w:val="single"/>
        </w:rPr>
        <w:t xml:space="preserve"> </w:t>
      </w:r>
      <w:r>
        <w:rPr>
          <w:rFonts w:hint="eastAsia" w:ascii="仿宋" w:hAnsi="仿宋" w:eastAsia="仿宋" w:cs="仿宋"/>
          <w:bCs/>
          <w:color w:val="auto"/>
          <w:sz w:val="31"/>
          <w:szCs w:val="31"/>
        </w:rPr>
        <w:t>（局、办、镇）机关、</w:t>
      </w:r>
      <w:r>
        <w:rPr>
          <w:rFonts w:hint="eastAsia" w:ascii="仿宋" w:hAnsi="仿宋" w:eastAsia="仿宋" w:cs="仿宋"/>
          <w:bCs/>
          <w:color w:val="auto"/>
          <w:sz w:val="31"/>
          <w:szCs w:val="31"/>
          <w:u w:val="single"/>
        </w:rPr>
        <w:t xml:space="preserve"> </w:t>
      </w:r>
      <w:r>
        <w:rPr>
          <w:rFonts w:hint="eastAsia" w:ascii="仿宋" w:hAnsi="仿宋" w:eastAsia="仿宋" w:cs="仿宋"/>
          <w:bCs/>
          <w:color w:val="auto"/>
          <w:sz w:val="31"/>
          <w:szCs w:val="31"/>
          <w:u w:val="single"/>
          <w:lang w:val="en-US" w:eastAsia="zh-CN"/>
        </w:rPr>
        <w:t>0</w:t>
      </w:r>
      <w:r>
        <w:rPr>
          <w:rFonts w:hint="eastAsia" w:ascii="仿宋" w:hAnsi="仿宋" w:eastAsia="仿宋" w:cs="仿宋"/>
          <w:bCs/>
          <w:color w:val="auto"/>
          <w:sz w:val="31"/>
          <w:szCs w:val="31"/>
          <w:u w:val="single"/>
        </w:rPr>
        <w:t xml:space="preserve"> </w:t>
      </w:r>
      <w:r>
        <w:rPr>
          <w:rFonts w:hint="eastAsia" w:ascii="仿宋" w:hAnsi="仿宋" w:eastAsia="仿宋" w:cs="仿宋"/>
          <w:bCs/>
          <w:color w:val="auto"/>
          <w:sz w:val="31"/>
          <w:szCs w:val="31"/>
        </w:rPr>
        <w:t xml:space="preserve">个所属单位出国团组 </w:t>
      </w:r>
      <w:r>
        <w:rPr>
          <w:rFonts w:hint="eastAsia" w:ascii="仿宋" w:hAnsi="仿宋" w:eastAsia="仿宋" w:cs="仿宋"/>
          <w:bCs/>
          <w:color w:val="auto"/>
          <w:sz w:val="31"/>
          <w:szCs w:val="31"/>
          <w:lang w:val="en-US" w:eastAsia="zh-CN"/>
        </w:rPr>
        <w:t>0</w:t>
      </w:r>
      <w:r>
        <w:rPr>
          <w:rFonts w:hint="eastAsia" w:ascii="仿宋" w:hAnsi="仿宋" w:eastAsia="仿宋" w:cs="仿宋"/>
          <w:bCs/>
          <w:color w:val="auto"/>
          <w:sz w:val="31"/>
          <w:szCs w:val="31"/>
        </w:rPr>
        <w:t xml:space="preserve"> 个，参加其他单位组织的出国团组</w:t>
      </w:r>
      <w:r>
        <w:rPr>
          <w:rFonts w:hint="eastAsia" w:ascii="仿宋" w:hAnsi="仿宋" w:eastAsia="仿宋" w:cs="仿宋"/>
          <w:bCs/>
          <w:color w:val="auto"/>
          <w:sz w:val="31"/>
          <w:szCs w:val="31"/>
          <w:u w:val="single"/>
        </w:rPr>
        <w:t xml:space="preserve"> </w:t>
      </w:r>
      <w:r>
        <w:rPr>
          <w:rFonts w:hint="eastAsia" w:ascii="仿宋" w:hAnsi="仿宋" w:eastAsia="仿宋" w:cs="仿宋"/>
          <w:bCs/>
          <w:color w:val="auto"/>
          <w:sz w:val="31"/>
          <w:szCs w:val="31"/>
          <w:u w:val="single"/>
          <w:lang w:val="en-US" w:eastAsia="zh-CN"/>
        </w:rPr>
        <w:t>0</w:t>
      </w:r>
      <w:r>
        <w:rPr>
          <w:rFonts w:hint="eastAsia" w:ascii="仿宋" w:hAnsi="仿宋" w:eastAsia="仿宋" w:cs="仿宋"/>
          <w:bCs/>
          <w:color w:val="auto"/>
          <w:sz w:val="31"/>
          <w:szCs w:val="31"/>
          <w:u w:val="single"/>
        </w:rPr>
        <w:t xml:space="preserve"> </w:t>
      </w:r>
      <w:r>
        <w:rPr>
          <w:rFonts w:hint="eastAsia" w:ascii="仿宋" w:hAnsi="仿宋" w:eastAsia="仿宋" w:cs="仿宋"/>
          <w:bCs/>
          <w:color w:val="auto"/>
          <w:sz w:val="31"/>
          <w:szCs w:val="31"/>
        </w:rPr>
        <w:t>个，全年因公出国（境）团组共计</w:t>
      </w:r>
      <w:r>
        <w:rPr>
          <w:rFonts w:hint="eastAsia" w:ascii="仿宋" w:hAnsi="仿宋" w:eastAsia="仿宋" w:cs="仿宋"/>
          <w:bCs/>
          <w:color w:val="auto"/>
          <w:sz w:val="31"/>
          <w:szCs w:val="31"/>
          <w:u w:val="single"/>
        </w:rPr>
        <w:t>0</w:t>
      </w:r>
      <w:r>
        <w:rPr>
          <w:rFonts w:hint="eastAsia" w:ascii="仿宋" w:hAnsi="仿宋" w:eastAsia="仿宋" w:cs="仿宋"/>
          <w:bCs/>
          <w:color w:val="auto"/>
          <w:sz w:val="31"/>
          <w:szCs w:val="31"/>
        </w:rPr>
        <w:t>个，累计</w:t>
      </w:r>
      <w:r>
        <w:rPr>
          <w:rFonts w:hint="eastAsia" w:ascii="仿宋" w:hAnsi="仿宋" w:eastAsia="仿宋" w:cs="仿宋"/>
          <w:bCs/>
          <w:color w:val="auto"/>
          <w:sz w:val="31"/>
          <w:szCs w:val="31"/>
          <w:u w:val="single"/>
        </w:rPr>
        <w:t>0</w:t>
      </w:r>
      <w:r>
        <w:rPr>
          <w:rFonts w:hint="eastAsia" w:ascii="仿宋" w:hAnsi="仿宋" w:eastAsia="仿宋" w:cs="仿宋"/>
          <w:bCs/>
          <w:color w:val="auto"/>
          <w:sz w:val="31"/>
          <w:szCs w:val="31"/>
        </w:rPr>
        <w:t>人次。开支内容包括：</w:t>
      </w:r>
      <w:r>
        <w:rPr>
          <w:rFonts w:hint="eastAsia" w:ascii="仿宋" w:hAnsi="仿宋" w:eastAsia="仿宋" w:cs="仿宋"/>
          <w:bCs/>
          <w:color w:val="auto"/>
          <w:sz w:val="31"/>
          <w:szCs w:val="31"/>
          <w:lang w:eastAsia="zh-CN"/>
        </w:rPr>
        <w:t>本部门</w:t>
      </w:r>
      <w:r>
        <w:rPr>
          <w:rFonts w:hint="eastAsia" w:ascii="仿宋" w:hAnsi="仿宋" w:eastAsia="仿宋" w:cs="仿宋"/>
          <w:bCs/>
          <w:color w:val="auto"/>
          <w:sz w:val="31"/>
          <w:szCs w:val="31"/>
          <w:lang w:val="en-US" w:eastAsia="zh-CN"/>
        </w:rPr>
        <w:t>2022年度没有</w:t>
      </w:r>
      <w:r>
        <w:rPr>
          <w:rFonts w:hint="eastAsia" w:ascii="仿宋" w:hAnsi="仿宋" w:eastAsia="仿宋" w:cs="仿宋"/>
          <w:color w:val="auto"/>
          <w:kern w:val="0"/>
          <w:sz w:val="31"/>
          <w:szCs w:val="31"/>
        </w:rPr>
        <w:t>因公出国（境）费支出</w:t>
      </w:r>
      <w:r>
        <w:rPr>
          <w:rFonts w:hint="eastAsia" w:ascii="仿宋" w:hAnsi="仿宋" w:eastAsia="仿宋" w:cs="仿宋"/>
          <w:bCs/>
          <w:color w:val="auto"/>
          <w:sz w:val="31"/>
          <w:szCs w:val="31"/>
          <w:lang w:eastAsia="zh-CN"/>
        </w:rPr>
        <w:t>。</w:t>
      </w:r>
    </w:p>
    <w:p>
      <w:pPr>
        <w:autoSpaceDE w:val="0"/>
        <w:autoSpaceDN w:val="0"/>
        <w:adjustRightInd w:val="0"/>
        <w:spacing w:line="560" w:lineRule="exact"/>
        <w:ind w:firstLine="620" w:firstLineChars="200"/>
        <w:jc w:val="left"/>
        <w:rPr>
          <w:rFonts w:hint="eastAsia" w:ascii="仿宋" w:hAnsi="仿宋" w:eastAsia="仿宋" w:cs="仿宋"/>
          <w:color w:val="auto"/>
          <w:sz w:val="31"/>
          <w:szCs w:val="31"/>
          <w:lang w:eastAsia="zh-CN"/>
        </w:rPr>
      </w:pPr>
      <w:r>
        <w:rPr>
          <w:rFonts w:hint="eastAsia" w:ascii="仿宋" w:hAnsi="仿宋" w:eastAsia="仿宋" w:cs="仿宋"/>
          <w:color w:val="auto"/>
          <w:kern w:val="0"/>
          <w:sz w:val="31"/>
          <w:szCs w:val="31"/>
        </w:rPr>
        <w:t>（二）公务用车购置及运行费支出</w:t>
      </w:r>
      <w:r>
        <w:rPr>
          <w:rFonts w:ascii="仿宋" w:hAnsi="仿宋" w:eastAsia="仿宋" w:cs="仿宋"/>
          <w:color w:val="auto"/>
          <w:sz w:val="31"/>
          <w:u w:color="auto"/>
        </w:rPr>
        <w:t>0.00万元。其中：公务用车购置支出0.00万元，完成年初预算的</w:t>
      </w:r>
      <w:r>
        <w:rPr>
          <w:rFonts w:hint="eastAsia" w:ascii="仿宋" w:hAnsi="仿宋" w:eastAsia="仿宋" w:cs="仿宋"/>
          <w:color w:val="auto"/>
          <w:sz w:val="31"/>
          <w:szCs w:val="31"/>
        </w:rPr>
        <w:t>0%</w:t>
      </w:r>
      <w:r>
        <w:rPr>
          <w:rFonts w:hint="eastAsia" w:ascii="仿宋" w:hAnsi="仿宋" w:eastAsia="仿宋" w:cs="仿宋"/>
          <w:color w:val="auto"/>
          <w:kern w:val="0"/>
          <w:sz w:val="31"/>
          <w:szCs w:val="31"/>
        </w:rPr>
        <w:t>，比上年</w:t>
      </w:r>
      <w:r>
        <w:rPr>
          <w:rFonts w:hint="eastAsia" w:ascii="仿宋" w:hAnsi="仿宋" w:eastAsia="仿宋" w:cs="仿宋"/>
          <w:color w:val="auto"/>
          <w:sz w:val="31"/>
          <w:szCs w:val="31"/>
        </w:rPr>
        <w:t>增加0.00</w:t>
      </w:r>
      <w:r>
        <w:rPr>
          <w:rFonts w:hint="eastAsia" w:ascii="仿宋" w:hAnsi="仿宋" w:eastAsia="仿宋" w:cs="仿宋"/>
          <w:color w:val="auto"/>
          <w:kern w:val="0"/>
          <w:sz w:val="31"/>
          <w:szCs w:val="31"/>
        </w:rPr>
        <w:t>万元，原因是</w:t>
      </w:r>
      <w:r>
        <w:rPr>
          <w:rFonts w:hint="eastAsia" w:ascii="仿宋" w:hAnsi="仿宋" w:eastAsia="仿宋" w:cs="仿宋"/>
          <w:color w:val="auto"/>
          <w:kern w:val="0"/>
          <w:sz w:val="31"/>
          <w:szCs w:val="31"/>
          <w:lang w:eastAsia="zh-CN"/>
        </w:rPr>
        <w:t>：</w:t>
      </w:r>
      <w:r>
        <w:rPr>
          <w:rFonts w:hint="eastAsia" w:ascii="仿宋" w:hAnsi="仿宋" w:eastAsia="仿宋" w:cs="仿宋"/>
          <w:color w:val="auto"/>
          <w:sz w:val="31"/>
          <w:szCs w:val="31"/>
          <w:highlight w:val="none"/>
          <w:lang w:val="en-US" w:eastAsia="zh-CN"/>
        </w:rPr>
        <w:t>本部门2022年度没有</w:t>
      </w:r>
      <w:r>
        <w:rPr>
          <w:rFonts w:hint="eastAsia" w:ascii="仿宋" w:hAnsi="仿宋" w:eastAsia="仿宋" w:cs="仿宋"/>
          <w:color w:val="auto"/>
          <w:kern w:val="0"/>
          <w:sz w:val="31"/>
          <w:szCs w:val="31"/>
        </w:rPr>
        <w:t>公务用车购置及运行费支</w:t>
      </w:r>
      <w:r>
        <w:rPr>
          <w:rFonts w:hint="eastAsia" w:ascii="仿宋" w:hAnsi="仿宋" w:eastAsia="仿宋" w:cs="仿宋"/>
          <w:color w:val="auto"/>
          <w:kern w:val="0"/>
          <w:sz w:val="31"/>
          <w:szCs w:val="31"/>
          <w:lang w:eastAsia="zh-CN"/>
        </w:rPr>
        <w:t>出</w:t>
      </w:r>
      <w:r>
        <w:rPr>
          <w:rFonts w:hint="eastAsia" w:ascii="仿宋" w:hAnsi="仿宋" w:eastAsia="仿宋" w:cs="仿宋"/>
          <w:color w:val="auto"/>
          <w:kern w:val="0"/>
          <w:sz w:val="31"/>
          <w:szCs w:val="31"/>
        </w:rPr>
        <w:t>。购置</w:t>
      </w:r>
      <w:r>
        <w:rPr>
          <w:rFonts w:hint="eastAsia" w:ascii="仿宋" w:hAnsi="仿宋" w:eastAsia="仿宋" w:cs="仿宋"/>
          <w:color w:val="auto"/>
          <w:sz w:val="31"/>
          <w:szCs w:val="31"/>
        </w:rPr>
        <w:t>了</w:t>
      </w:r>
      <w:r>
        <w:rPr>
          <w:rFonts w:ascii="仿宋" w:hAnsi="仿宋" w:eastAsia="仿宋" w:cs="仿宋"/>
          <w:color w:val="auto"/>
          <w:sz w:val="31"/>
          <w:u w:color="auto"/>
        </w:rPr>
        <w:t>0辆公务用车，</w:t>
      </w:r>
      <w:r>
        <w:rPr>
          <w:rFonts w:hint="eastAsia" w:ascii="仿宋" w:hAnsi="仿宋" w:eastAsia="仿宋" w:cs="仿宋"/>
          <w:color w:val="auto"/>
          <w:sz w:val="31"/>
          <w:szCs w:val="31"/>
        </w:rPr>
        <w:t>主要用</w:t>
      </w:r>
      <w:r>
        <w:rPr>
          <w:rFonts w:hint="eastAsia" w:ascii="仿宋" w:hAnsi="仿宋" w:eastAsia="仿宋" w:cs="仿宋"/>
          <w:color w:val="auto"/>
          <w:sz w:val="31"/>
          <w:szCs w:val="31"/>
          <w:lang w:eastAsia="zh-CN"/>
        </w:rPr>
        <w:t>于：无。</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lang w:eastAsia="zh-CN"/>
        </w:rPr>
      </w:pPr>
      <w:r>
        <w:rPr>
          <w:rFonts w:hint="eastAsia" w:ascii="仿宋" w:hAnsi="仿宋" w:eastAsia="仿宋" w:cs="仿宋"/>
          <w:color w:val="auto"/>
          <w:kern w:val="0"/>
          <w:sz w:val="31"/>
          <w:szCs w:val="31"/>
        </w:rPr>
        <w:t>公务用车运行支出</w:t>
      </w:r>
      <w:r>
        <w:rPr>
          <w:rFonts w:ascii="仿宋" w:hAnsi="仿宋" w:eastAsia="仿宋" w:cs="仿宋"/>
          <w:color w:val="auto"/>
          <w:sz w:val="31"/>
          <w:u w:color="auto"/>
        </w:rPr>
        <w:t>0.00万元，完成年初预算的0%</w:t>
      </w:r>
      <w:r>
        <w:rPr>
          <w:rFonts w:hint="eastAsia" w:ascii="仿宋" w:hAnsi="仿宋" w:eastAsia="仿宋" w:cs="仿宋"/>
          <w:color w:val="auto"/>
          <w:kern w:val="0"/>
          <w:sz w:val="31"/>
          <w:szCs w:val="31"/>
        </w:rPr>
        <w:t>，比上年</w:t>
      </w:r>
      <w:r>
        <w:rPr>
          <w:rFonts w:ascii="仿宋" w:hAnsi="仿宋" w:eastAsia="仿宋" w:cs="仿宋"/>
          <w:color w:val="auto"/>
          <w:sz w:val="31"/>
          <w:u w:color="auto"/>
        </w:rPr>
        <w:t>增加0.00万元，</w:t>
      </w:r>
      <w:r>
        <w:rPr>
          <w:rFonts w:hint="eastAsia" w:ascii="仿宋" w:hAnsi="仿宋" w:eastAsia="仿宋" w:cs="仿宋"/>
          <w:color w:val="auto"/>
          <w:kern w:val="2"/>
          <w:sz w:val="31"/>
          <w:szCs w:val="31"/>
          <w:highlight w:val="none"/>
          <w:lang w:val="en-US" w:eastAsia="zh-CN" w:bidi="ar"/>
        </w:rPr>
        <w:t>原因是：</w:t>
      </w:r>
      <w:r>
        <w:rPr>
          <w:rFonts w:hint="eastAsia" w:ascii="仿宋" w:hAnsi="仿宋" w:eastAsia="仿宋" w:cs="仿宋"/>
          <w:color w:val="auto"/>
          <w:sz w:val="31"/>
          <w:szCs w:val="31"/>
          <w:highlight w:val="none"/>
          <w:lang w:val="en-US" w:eastAsia="zh-CN"/>
        </w:rPr>
        <w:t>本部门2022年度没有</w:t>
      </w:r>
      <w:r>
        <w:rPr>
          <w:rFonts w:hint="eastAsia" w:ascii="仿宋" w:hAnsi="仿宋" w:eastAsia="仿宋" w:cs="仿宋"/>
          <w:color w:val="auto"/>
          <w:kern w:val="0"/>
          <w:sz w:val="31"/>
          <w:szCs w:val="31"/>
        </w:rPr>
        <w:t>公务用车运行支出</w:t>
      </w:r>
      <w:r>
        <w:rPr>
          <w:rFonts w:hint="eastAsia" w:ascii="仿宋" w:hAnsi="仿宋" w:eastAsia="仿宋" w:cs="仿宋"/>
          <w:color w:val="auto"/>
          <w:kern w:val="0"/>
          <w:sz w:val="31"/>
          <w:szCs w:val="31"/>
          <w:lang w:eastAsia="zh-CN"/>
        </w:rPr>
        <w:t>。</w:t>
      </w:r>
      <w:r>
        <w:rPr>
          <w:rFonts w:hint="eastAsia" w:ascii="仿宋" w:hAnsi="仿宋" w:eastAsia="仿宋" w:cs="仿宋"/>
          <w:color w:val="auto"/>
          <w:kern w:val="0"/>
          <w:sz w:val="31"/>
          <w:szCs w:val="31"/>
        </w:rPr>
        <w:t>主要用于机要文件交换、市内因公出行以及开</w:t>
      </w:r>
      <w:r>
        <w:rPr>
          <w:rFonts w:hint="eastAsia" w:ascii="仿宋" w:hAnsi="仿宋" w:eastAsia="仿宋" w:cs="仿宋"/>
          <w:color w:val="auto"/>
          <w:kern w:val="0"/>
          <w:sz w:val="31"/>
          <w:szCs w:val="31"/>
          <w:u w:val="single"/>
        </w:rPr>
        <w:t xml:space="preserve">展 </w:t>
      </w:r>
      <w:r>
        <w:rPr>
          <w:rFonts w:hint="eastAsia" w:ascii="仿宋" w:hAnsi="仿宋" w:eastAsia="仿宋" w:cs="仿宋"/>
          <w:color w:val="auto"/>
          <w:kern w:val="0"/>
          <w:sz w:val="31"/>
          <w:szCs w:val="31"/>
          <w:u w:val="single"/>
          <w:lang w:val="en-US" w:eastAsia="zh-CN"/>
        </w:rPr>
        <w:t xml:space="preserve"> 0个 </w:t>
      </w:r>
      <w:r>
        <w:rPr>
          <w:rFonts w:hint="eastAsia" w:ascii="仿宋" w:hAnsi="仿宋" w:eastAsia="仿宋" w:cs="仿宋"/>
          <w:color w:val="auto"/>
          <w:kern w:val="0"/>
          <w:sz w:val="31"/>
          <w:szCs w:val="31"/>
          <w:u w:val="single"/>
        </w:rPr>
        <w:t xml:space="preserve"> 业务</w:t>
      </w:r>
      <w:r>
        <w:rPr>
          <w:rFonts w:hint="eastAsia" w:ascii="仿宋" w:hAnsi="仿宋" w:eastAsia="仿宋" w:cs="仿宋"/>
          <w:color w:val="auto"/>
          <w:kern w:val="0"/>
          <w:sz w:val="31"/>
          <w:szCs w:val="31"/>
        </w:rPr>
        <w:t>所需车辆燃料费、维修费、过路过桥费、保险费等。2022年，</w:t>
      </w:r>
      <w:r>
        <w:rPr>
          <w:rFonts w:hint="eastAsia" w:ascii="仿宋" w:hAnsi="仿宋" w:eastAsia="仿宋" w:cs="仿宋"/>
          <w:color w:val="auto"/>
          <w:sz w:val="31"/>
          <w:szCs w:val="31"/>
          <w:u w:val="single"/>
          <w:shd w:val="clear" w:color="auto" w:fill="FFFFFF"/>
        </w:rPr>
        <w:t>百色起义纪念碑园</w:t>
      </w:r>
      <w:r>
        <w:rPr>
          <w:rFonts w:hint="eastAsia" w:ascii="仿宋" w:hAnsi="仿宋" w:eastAsia="仿宋" w:cs="仿宋"/>
          <w:bCs/>
          <w:color w:val="auto"/>
          <w:sz w:val="31"/>
          <w:szCs w:val="31"/>
        </w:rPr>
        <w:t>、</w:t>
      </w:r>
      <w:r>
        <w:rPr>
          <w:rFonts w:hint="eastAsia" w:ascii="仿宋" w:hAnsi="仿宋" w:eastAsia="仿宋" w:cs="仿宋"/>
          <w:bCs/>
          <w:color w:val="auto"/>
          <w:sz w:val="31"/>
          <w:szCs w:val="31"/>
          <w:u w:val="single"/>
        </w:rPr>
        <w:t xml:space="preserve"> </w:t>
      </w:r>
      <w:r>
        <w:rPr>
          <w:rFonts w:hint="eastAsia" w:ascii="仿宋" w:hAnsi="仿宋" w:eastAsia="仿宋" w:cs="仿宋"/>
          <w:bCs/>
          <w:color w:val="auto"/>
          <w:sz w:val="31"/>
          <w:szCs w:val="31"/>
          <w:u w:val="single"/>
          <w:lang w:val="en-US" w:eastAsia="zh-CN"/>
        </w:rPr>
        <w:t xml:space="preserve"> 0 </w:t>
      </w:r>
      <w:r>
        <w:rPr>
          <w:rFonts w:hint="eastAsia" w:ascii="仿宋" w:hAnsi="仿宋" w:eastAsia="仿宋" w:cs="仿宋"/>
          <w:bCs/>
          <w:color w:val="auto"/>
          <w:sz w:val="31"/>
          <w:szCs w:val="31"/>
          <w:u w:val="single"/>
        </w:rPr>
        <w:t xml:space="preserve"> </w:t>
      </w:r>
      <w:r>
        <w:rPr>
          <w:rFonts w:hint="eastAsia" w:ascii="仿宋" w:hAnsi="仿宋" w:eastAsia="仿宋" w:cs="仿宋"/>
          <w:bCs/>
          <w:color w:val="auto"/>
          <w:sz w:val="31"/>
          <w:szCs w:val="31"/>
          <w:u w:val="none"/>
        </w:rPr>
        <w:t>个所</w:t>
      </w:r>
      <w:r>
        <w:rPr>
          <w:rFonts w:hint="eastAsia" w:ascii="仿宋" w:hAnsi="仿宋" w:eastAsia="仿宋" w:cs="仿宋"/>
          <w:bCs/>
          <w:color w:val="auto"/>
          <w:sz w:val="31"/>
          <w:szCs w:val="31"/>
        </w:rPr>
        <w:t>属单位开支财政拨款的公务用车保有量为</w:t>
      </w:r>
      <w:r>
        <w:rPr>
          <w:rFonts w:hint="eastAsia" w:ascii="仿宋" w:hAnsi="仿宋" w:eastAsia="仿宋" w:cs="仿宋"/>
          <w:bCs/>
          <w:color w:val="auto"/>
          <w:sz w:val="31"/>
          <w:szCs w:val="31"/>
          <w:u w:val="single"/>
        </w:rPr>
        <w:t>0</w:t>
      </w:r>
      <w:r>
        <w:rPr>
          <w:rFonts w:hint="eastAsia" w:ascii="仿宋" w:hAnsi="仿宋" w:eastAsia="仿宋" w:cs="仿宋"/>
          <w:bCs/>
          <w:color w:val="auto"/>
          <w:sz w:val="31"/>
          <w:szCs w:val="31"/>
        </w:rPr>
        <w:t>辆，全年运行费支出</w:t>
      </w:r>
      <w:r>
        <w:rPr>
          <w:rFonts w:hint="eastAsia" w:ascii="仿宋" w:hAnsi="仿宋" w:eastAsia="仿宋" w:cs="仿宋"/>
          <w:color w:val="auto"/>
          <w:sz w:val="31"/>
          <w:szCs w:val="31"/>
        </w:rPr>
        <w:t>0.00</w:t>
      </w:r>
      <w:r>
        <w:rPr>
          <w:rFonts w:hint="eastAsia" w:ascii="仿宋" w:hAnsi="仿宋" w:eastAsia="仿宋" w:cs="仿宋"/>
          <w:bCs/>
          <w:color w:val="auto"/>
          <w:sz w:val="31"/>
          <w:szCs w:val="31"/>
        </w:rPr>
        <w:t>万元，</w:t>
      </w:r>
      <w:r>
        <w:rPr>
          <w:rFonts w:hint="eastAsia" w:ascii="仿宋" w:hAnsi="仿宋" w:eastAsia="仿宋" w:cs="仿宋"/>
          <w:bCs/>
          <w:color w:val="auto"/>
          <w:sz w:val="31"/>
          <w:szCs w:val="31"/>
          <w:u w:val="none"/>
        </w:rPr>
        <w:t>平均每辆</w:t>
      </w:r>
      <w:r>
        <w:rPr>
          <w:rFonts w:hint="eastAsia" w:ascii="仿宋" w:hAnsi="仿宋" w:eastAsia="仿宋" w:cs="仿宋"/>
          <w:bCs/>
          <w:color w:val="auto"/>
          <w:sz w:val="31"/>
          <w:szCs w:val="31"/>
          <w:u w:val="single"/>
        </w:rPr>
        <w:t xml:space="preserve"> </w:t>
      </w:r>
      <w:r>
        <w:rPr>
          <w:rFonts w:hint="eastAsia" w:ascii="仿宋" w:hAnsi="仿宋" w:eastAsia="仿宋" w:cs="仿宋"/>
          <w:bCs/>
          <w:color w:val="auto"/>
          <w:sz w:val="31"/>
          <w:szCs w:val="31"/>
          <w:u w:val="single"/>
          <w:lang w:val="en-US" w:eastAsia="zh-CN"/>
        </w:rPr>
        <w:t xml:space="preserve"> 0 </w:t>
      </w:r>
      <w:r>
        <w:rPr>
          <w:rFonts w:hint="eastAsia" w:ascii="仿宋" w:hAnsi="仿宋" w:eastAsia="仿宋" w:cs="仿宋"/>
          <w:bCs/>
          <w:color w:val="auto"/>
          <w:sz w:val="31"/>
          <w:szCs w:val="31"/>
          <w:u w:val="single"/>
        </w:rPr>
        <w:t xml:space="preserve"> </w:t>
      </w:r>
      <w:r>
        <w:rPr>
          <w:rFonts w:hint="eastAsia" w:ascii="仿宋" w:hAnsi="仿宋" w:eastAsia="仿宋" w:cs="仿宋"/>
          <w:bCs/>
          <w:color w:val="auto"/>
          <w:sz w:val="31"/>
          <w:szCs w:val="31"/>
          <w:u w:val="none"/>
        </w:rPr>
        <w:t>万元</w:t>
      </w:r>
      <w:r>
        <w:rPr>
          <w:rFonts w:hint="eastAsia" w:ascii="仿宋" w:hAnsi="仿宋" w:eastAsia="仿宋" w:cs="仿宋"/>
          <w:bCs/>
          <w:color w:val="auto"/>
          <w:sz w:val="31"/>
          <w:szCs w:val="31"/>
          <w:u w:val="none"/>
          <w:lang w:eastAsia="zh-CN"/>
        </w:rPr>
        <w:t>。</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（三）公务接待费支出</w:t>
      </w:r>
      <w:r>
        <w:rPr>
          <w:rFonts w:hint="eastAsia" w:ascii="仿宋" w:hAnsi="仿宋" w:eastAsia="仿宋" w:cs="仿宋"/>
          <w:color w:val="auto"/>
          <w:sz w:val="31"/>
          <w:szCs w:val="31"/>
        </w:rPr>
        <w:t>0.00</w:t>
      </w:r>
      <w:r>
        <w:rPr>
          <w:rFonts w:hint="eastAsia" w:ascii="仿宋" w:hAnsi="仿宋" w:eastAsia="仿宋" w:cs="仿宋"/>
          <w:color w:val="auto"/>
          <w:kern w:val="0"/>
          <w:sz w:val="31"/>
          <w:szCs w:val="31"/>
        </w:rPr>
        <w:t>万元，完成年初预算的</w:t>
      </w:r>
      <w:r>
        <w:rPr>
          <w:rFonts w:hint="eastAsia" w:ascii="仿宋" w:hAnsi="仿宋" w:eastAsia="仿宋" w:cs="仿宋"/>
          <w:color w:val="auto"/>
          <w:sz w:val="31"/>
          <w:szCs w:val="31"/>
        </w:rPr>
        <w:t>0%</w:t>
      </w:r>
      <w:r>
        <w:rPr>
          <w:rFonts w:hint="eastAsia" w:ascii="仿宋" w:hAnsi="仿宋" w:eastAsia="仿宋" w:cs="仿宋"/>
          <w:color w:val="auto"/>
          <w:kern w:val="0"/>
          <w:sz w:val="31"/>
          <w:szCs w:val="31"/>
        </w:rPr>
        <w:t>， 比上年</w:t>
      </w:r>
      <w:r>
        <w:rPr>
          <w:rFonts w:hint="eastAsia" w:ascii="仿宋" w:hAnsi="仿宋" w:eastAsia="仿宋" w:cs="仿宋"/>
          <w:color w:val="auto"/>
          <w:sz w:val="31"/>
          <w:szCs w:val="31"/>
        </w:rPr>
        <w:t>增加0.00</w:t>
      </w:r>
      <w:r>
        <w:rPr>
          <w:rFonts w:hint="eastAsia" w:ascii="仿宋" w:hAnsi="仿宋" w:eastAsia="仿宋" w:cs="仿宋"/>
          <w:color w:val="auto"/>
          <w:kern w:val="0"/>
          <w:sz w:val="31"/>
          <w:szCs w:val="31"/>
        </w:rPr>
        <w:t>万元，</w:t>
      </w:r>
      <w:r>
        <w:rPr>
          <w:rFonts w:hint="eastAsia" w:ascii="仿宋" w:hAnsi="仿宋" w:eastAsia="仿宋" w:cs="仿宋"/>
          <w:color w:val="auto"/>
          <w:kern w:val="2"/>
          <w:sz w:val="31"/>
          <w:szCs w:val="31"/>
          <w:highlight w:val="none"/>
          <w:lang w:val="en-US" w:eastAsia="zh-CN" w:bidi="ar"/>
        </w:rPr>
        <w:t>原因是：</w:t>
      </w:r>
      <w:r>
        <w:rPr>
          <w:rFonts w:hint="eastAsia" w:ascii="仿宋" w:hAnsi="仿宋" w:eastAsia="仿宋" w:cs="仿宋"/>
          <w:color w:val="auto"/>
          <w:sz w:val="31"/>
          <w:szCs w:val="31"/>
          <w:highlight w:val="none"/>
          <w:lang w:val="en-US" w:eastAsia="zh-CN"/>
        </w:rPr>
        <w:t>本部门2022年度没有</w:t>
      </w:r>
      <w:r>
        <w:rPr>
          <w:rFonts w:hint="eastAsia" w:ascii="仿宋" w:hAnsi="仿宋" w:eastAsia="仿宋" w:cs="仿宋"/>
          <w:color w:val="auto"/>
          <w:kern w:val="0"/>
          <w:sz w:val="31"/>
          <w:szCs w:val="31"/>
        </w:rPr>
        <w:t>公务接待费支出</w:t>
      </w:r>
      <w:r>
        <w:rPr>
          <w:rFonts w:hint="eastAsia" w:ascii="仿宋" w:hAnsi="仿宋" w:eastAsia="仿宋" w:cs="仿宋"/>
          <w:color w:val="auto"/>
          <w:kern w:val="0"/>
          <w:sz w:val="31"/>
          <w:szCs w:val="31"/>
          <w:lang w:eastAsia="zh-CN"/>
        </w:rPr>
        <w:t>。</w:t>
      </w:r>
      <w:r>
        <w:rPr>
          <w:rFonts w:hint="eastAsia" w:ascii="仿宋" w:hAnsi="仿宋" w:eastAsia="仿宋" w:cs="仿宋"/>
          <w:color w:val="auto"/>
          <w:kern w:val="0"/>
          <w:sz w:val="31"/>
          <w:szCs w:val="31"/>
        </w:rPr>
        <w:t>国内公务接待批次</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次，人次</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次，国（境）外公务接待批次</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次，人次</w:t>
      </w:r>
      <w:r>
        <w:rPr>
          <w:rFonts w:hint="eastAsia" w:ascii="仿宋" w:hAnsi="仿宋" w:eastAsia="仿宋" w:cs="仿宋"/>
          <w:color w:val="auto"/>
          <w:kern w:val="0"/>
          <w:sz w:val="31"/>
          <w:szCs w:val="31"/>
          <w:u w:val="single"/>
        </w:rPr>
        <w:t xml:space="preserve"> </w:t>
      </w:r>
      <w:bookmarkStart w:id="2" w:name="_Hlk145513101"/>
      <w:r>
        <w:rPr>
          <w:rFonts w:hint="eastAsia" w:ascii="仿宋" w:hAnsi="仿宋" w:eastAsia="仿宋" w:cs="仿宋"/>
          <w:color w:val="auto"/>
          <w:kern w:val="0"/>
          <w:sz w:val="31"/>
          <w:szCs w:val="31"/>
          <w:u w:val="single"/>
        </w:rPr>
        <w:t>0</w:t>
      </w:r>
      <w:bookmarkEnd w:id="2"/>
      <w:r>
        <w:rPr>
          <w:rFonts w:hint="eastAsia" w:ascii="仿宋" w:hAnsi="仿宋" w:eastAsia="仿宋" w:cs="仿宋"/>
          <w:color w:val="auto"/>
          <w:kern w:val="0"/>
          <w:sz w:val="31"/>
          <w:szCs w:val="31"/>
        </w:rPr>
        <w:t>次。其中：</w:t>
      </w:r>
    </w:p>
    <w:p>
      <w:pPr>
        <w:autoSpaceDE w:val="0"/>
        <w:autoSpaceDN w:val="0"/>
        <w:adjustRightInd w:val="0"/>
        <w:spacing w:line="560" w:lineRule="exact"/>
        <w:ind w:firstLine="627" w:firstLineChars="196"/>
        <w:jc w:val="left"/>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七、其他重要事项情况说明</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（一）</w:t>
      </w:r>
      <w:r>
        <w:rPr>
          <w:rFonts w:hint="eastAsia" w:ascii="仿宋" w:hAnsi="仿宋" w:eastAsia="仿宋" w:cs="仿宋"/>
          <w:color w:val="auto"/>
          <w:sz w:val="31"/>
          <w:szCs w:val="31"/>
        </w:rPr>
        <w:t xml:space="preserve"> </w:t>
      </w:r>
      <w:r>
        <w:rPr>
          <w:rFonts w:hint="eastAsia" w:ascii="仿宋" w:hAnsi="仿宋" w:eastAsia="仿宋" w:cs="仿宋"/>
          <w:color w:val="auto"/>
          <w:kern w:val="0"/>
          <w:sz w:val="31"/>
          <w:szCs w:val="31"/>
        </w:rPr>
        <w:t>机关运行经费支出情况说明</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本部门2022年度机关运行经费支出</w:t>
      </w:r>
      <w:r>
        <w:rPr>
          <w:rFonts w:ascii="仿宋" w:hAnsi="仿宋" w:eastAsia="仿宋" w:cs="仿宋"/>
          <w:color w:val="auto"/>
          <w:sz w:val="31"/>
          <w:u w:color="auto"/>
        </w:rPr>
        <w:t>0.00万元（与部门决算中行政单位和参照公务员法管理事业单位一般公共预算财政拨款基本支出中公用经费之和一致），比年初预算数减少6.06万元，下降100%，比</w:t>
      </w:r>
      <w:r>
        <w:rPr>
          <w:rFonts w:hint="eastAsia" w:ascii="仿宋" w:hAnsi="仿宋" w:eastAsia="仿宋" w:cs="仿宋"/>
          <w:color w:val="auto"/>
          <w:kern w:val="0"/>
          <w:sz w:val="31"/>
          <w:szCs w:val="31"/>
          <w:lang w:val="en-US" w:eastAsia="zh-CN"/>
        </w:rPr>
        <w:t>2021</w:t>
      </w:r>
      <w:r>
        <w:rPr>
          <w:rFonts w:hint="eastAsia" w:ascii="仿宋" w:hAnsi="仿宋" w:eastAsia="仿宋" w:cs="仿宋"/>
          <w:color w:val="auto"/>
          <w:kern w:val="0"/>
          <w:sz w:val="31"/>
          <w:szCs w:val="31"/>
        </w:rPr>
        <w:t>年决算数</w:t>
      </w:r>
      <w:r>
        <w:rPr>
          <w:rFonts w:ascii="仿宋" w:hAnsi="仿宋" w:eastAsia="仿宋" w:cs="仿宋"/>
          <w:color w:val="auto"/>
          <w:sz w:val="31"/>
          <w:u w:color="auto"/>
        </w:rPr>
        <w:t>增加0.00万元，增长0%。</w:t>
      </w:r>
      <w:r>
        <w:rPr>
          <w:rFonts w:hint="eastAsia" w:ascii="仿宋" w:hAnsi="仿宋" w:eastAsia="仿宋" w:cs="仿宋"/>
          <w:color w:val="auto"/>
          <w:kern w:val="2"/>
          <w:sz w:val="31"/>
          <w:szCs w:val="31"/>
          <w:highlight w:val="none"/>
          <w:lang w:val="en-US" w:eastAsia="zh-CN" w:bidi="ar"/>
        </w:rPr>
        <w:t>原因是：</w:t>
      </w:r>
      <w:r>
        <w:rPr>
          <w:rFonts w:hint="eastAsia" w:ascii="仿宋" w:hAnsi="仿宋" w:eastAsia="仿宋" w:cs="仿宋"/>
          <w:color w:val="auto"/>
          <w:kern w:val="0"/>
          <w:sz w:val="31"/>
          <w:szCs w:val="31"/>
        </w:rPr>
        <w:t>落实过紧日子要求压减支出。</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（二）政府采购支出情况说明</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本部门2022年度政府采购支出总额</w:t>
      </w:r>
      <w:r>
        <w:rPr>
          <w:rFonts w:ascii="仿宋" w:hAnsi="仿宋" w:eastAsia="仿宋" w:cs="仿宋"/>
          <w:color w:val="auto"/>
          <w:sz w:val="31"/>
          <w:u w:color="auto"/>
        </w:rPr>
        <w:t>0.79万元，其中：政府采购货物支出0.79万元、政府采购工程支出0.00万元、政府采购服务支出0.00万元，（口径参见部门决算F03表《机构运行信息表》中政府采购相关数据）。授予中小企业合同金额0.79万元，占政府采购支出总额的100.00%，其中：授予小微企业合同金额0.79万元，占授予中小企业合同金额的100.00%。</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（三）国有资产占用情况说明</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截至2022年12月31日，本部门共有车辆</w:t>
      </w:r>
      <w:r>
        <w:rPr>
          <w:rFonts w:ascii="仿宋" w:hAnsi="仿宋" w:eastAsia="仿宋" w:cs="仿宋"/>
          <w:color w:val="auto"/>
          <w:sz w:val="31"/>
          <w:u w:color="auto"/>
        </w:rPr>
        <w:t>0辆，其中：副部（省）级领导干部用车</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辆、机要通信用车</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辆、应急保障用车</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辆、执法执勤用车</w:t>
      </w:r>
      <w:bookmarkStart w:id="3" w:name="_Hlk145513911"/>
      <w:r>
        <w:rPr>
          <w:rFonts w:hint="eastAsia" w:ascii="仿宋" w:hAnsi="仿宋" w:eastAsia="仿宋" w:cs="仿宋"/>
          <w:color w:val="auto"/>
          <w:kern w:val="0"/>
          <w:sz w:val="31"/>
          <w:szCs w:val="31"/>
          <w:u w:val="single"/>
        </w:rPr>
        <w:t>0</w:t>
      </w:r>
      <w:bookmarkEnd w:id="3"/>
      <w:r>
        <w:rPr>
          <w:rFonts w:hint="eastAsia" w:ascii="仿宋" w:hAnsi="仿宋" w:eastAsia="仿宋" w:cs="仿宋"/>
          <w:color w:val="auto"/>
          <w:kern w:val="0"/>
          <w:sz w:val="31"/>
          <w:szCs w:val="31"/>
        </w:rPr>
        <w:t>辆、特种专业技术用车</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辆、其他用车</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辆，其他用车主要是</w:t>
      </w:r>
      <w:r>
        <w:rPr>
          <w:rFonts w:hint="eastAsia" w:ascii="仿宋" w:hAnsi="仿宋" w:eastAsia="仿宋" w:cs="仿宋"/>
          <w:color w:val="auto"/>
          <w:kern w:val="0"/>
          <w:sz w:val="31"/>
          <w:szCs w:val="31"/>
          <w:lang w:eastAsia="zh-CN"/>
        </w:rPr>
        <w:t>：无。</w:t>
      </w:r>
      <w:r>
        <w:rPr>
          <w:rFonts w:hint="eastAsia" w:ascii="仿宋" w:hAnsi="仿宋" w:eastAsia="仿宋" w:cs="仿宋"/>
          <w:color w:val="auto"/>
          <w:kern w:val="0"/>
          <w:sz w:val="31"/>
          <w:szCs w:val="31"/>
        </w:rPr>
        <w:t>单位价值50万元以上通用设备</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台（套）；单位价值100万元以上专用设备</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台（套）。</w:t>
      </w:r>
    </w:p>
    <w:p>
      <w:pPr>
        <w:pStyle w:val="6"/>
        <w:widowControl/>
        <w:spacing w:before="196" w:beforeAutospacing="0" w:after="196" w:afterAutospacing="0" w:line="540" w:lineRule="atLeast"/>
        <w:ind w:firstLine="420"/>
        <w:jc w:val="both"/>
        <w:rPr>
          <w:rFonts w:ascii="黑体" w:hAnsi="黑体" w:eastAsia="黑体" w:cs="黑体"/>
          <w:color w:val="auto"/>
          <w:sz w:val="32"/>
          <w:szCs w:val="32"/>
        </w:rPr>
      </w:pPr>
      <w:r>
        <w:rPr>
          <w:rFonts w:hint="eastAsia" w:ascii="黑体" w:hAnsi="黑体" w:eastAsia="黑体" w:cs="黑体"/>
          <w:color w:val="auto"/>
          <w:sz w:val="32"/>
          <w:szCs w:val="32"/>
          <w:shd w:val="clear" w:color="auto" w:fill="FFFFFF"/>
        </w:rPr>
        <w:t>八、预算绩效管理工作开展情况。</w:t>
      </w:r>
    </w:p>
    <w:p>
      <w:pPr>
        <w:spacing w:line="360" w:lineRule="auto"/>
        <w:ind w:firstLine="56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（一）绩效管理工作开展情况。</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lang w:val="en-US" w:eastAsia="zh-CN" w:bidi="ar"/>
        </w:rPr>
        <w:t>根据财政预算管理要求，本部门组织对2022年度预算项目支出全面开展绩效自评。2022年共开展预算项目自评4个,共涉及资金108.78万元,自评覆盖率达到100%。</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_GB2312" w:eastAsia="仿宋_GB2312" w:cs="仿宋_GB2312"/>
          <w:color w:val="auto"/>
          <w:kern w:val="0"/>
          <w:sz w:val="32"/>
          <w:szCs w:val="32"/>
          <w:lang w:eastAsia="zh-CN"/>
        </w:rPr>
      </w:pPr>
      <w:r>
        <w:rPr>
          <w:rFonts w:hint="eastAsia" w:ascii="仿宋" w:hAnsi="仿宋" w:eastAsia="仿宋" w:cs="仿宋"/>
          <w:color w:val="auto"/>
          <w:kern w:val="0"/>
          <w:sz w:val="31"/>
          <w:szCs w:val="31"/>
          <w:lang w:val="en-US" w:eastAsia="zh-CN" w:bidi="ar"/>
        </w:rPr>
        <w:t>共组织对园区设备、设施日常运转及维护保养、中央优抚事业单位补助资金、瞻仰接待服务收入、追加职业年金4个项目进行了绩效评价，涉及预算支出108.78万元。从评价情况来看，以上</w:t>
      </w:r>
      <w:r>
        <w:rPr>
          <w:rFonts w:hint="eastAsia" w:ascii="仿宋_GB2312" w:eastAsia="仿宋_GB2312" w:cs="仿宋_GB2312"/>
          <w:color w:val="auto"/>
          <w:kern w:val="0"/>
          <w:sz w:val="32"/>
          <w:szCs w:val="32"/>
        </w:rPr>
        <w:t>项目按照要求完成各项</w:t>
      </w:r>
      <w:r>
        <w:rPr>
          <w:rFonts w:hint="eastAsia" w:ascii="仿宋_GB2312" w:eastAsia="仿宋_GB2312" w:cs="仿宋_GB2312"/>
          <w:color w:val="auto"/>
          <w:kern w:val="0"/>
          <w:sz w:val="32"/>
          <w:szCs w:val="32"/>
          <w:lang w:eastAsia="zh-CN"/>
        </w:rPr>
        <w:t>绩效</w:t>
      </w:r>
      <w:r>
        <w:rPr>
          <w:rFonts w:hint="eastAsia" w:ascii="仿宋_GB2312" w:eastAsia="仿宋_GB2312" w:cs="仿宋_GB2312"/>
          <w:color w:val="auto"/>
          <w:kern w:val="0"/>
          <w:sz w:val="32"/>
          <w:szCs w:val="32"/>
        </w:rPr>
        <w:t>目标，项目经费的投入使</w:t>
      </w:r>
      <w:r>
        <w:rPr>
          <w:rFonts w:hint="eastAsia" w:ascii="仿宋_GB2312" w:eastAsia="仿宋_GB2312" w:cs="仿宋_GB2312"/>
          <w:color w:val="auto"/>
          <w:kern w:val="0"/>
          <w:sz w:val="32"/>
          <w:szCs w:val="32"/>
          <w:lang w:eastAsia="zh-CN"/>
        </w:rPr>
        <w:t>纪念碑园园区日常运行管理工作</w:t>
      </w:r>
      <w:r>
        <w:rPr>
          <w:rFonts w:hint="eastAsia" w:ascii="仿宋_GB2312" w:eastAsia="仿宋_GB2312" w:cs="仿宋_GB2312"/>
          <w:color w:val="auto"/>
          <w:kern w:val="0"/>
          <w:sz w:val="32"/>
          <w:szCs w:val="32"/>
        </w:rPr>
        <w:t>正常</w:t>
      </w:r>
      <w:r>
        <w:rPr>
          <w:rFonts w:hint="eastAsia" w:ascii="仿宋_GB2312" w:eastAsia="仿宋_GB2312" w:cs="仿宋_GB2312"/>
          <w:color w:val="auto"/>
          <w:kern w:val="0"/>
          <w:sz w:val="32"/>
          <w:szCs w:val="32"/>
          <w:lang w:eastAsia="zh-CN"/>
        </w:rPr>
        <w:t>开展。</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default" w:ascii="仿宋_GB2312" w:hAnsi="Times New Roman" w:eastAsia="仿宋_GB2312" w:cs="仿宋_GB2312"/>
          <w:b/>
          <w:bCs/>
          <w:color w:val="auto"/>
          <w:kern w:val="0"/>
          <w:sz w:val="32"/>
          <w:szCs w:val="32"/>
        </w:rPr>
      </w:pPr>
      <w:r>
        <w:rPr>
          <w:rFonts w:hint="eastAsia" w:ascii="仿宋" w:hAnsi="仿宋" w:eastAsia="仿宋" w:cs="仿宋"/>
          <w:color w:val="auto"/>
          <w:kern w:val="0"/>
          <w:sz w:val="31"/>
          <w:szCs w:val="31"/>
          <w:lang w:val="en-US" w:eastAsia="zh-CN" w:bidi="ar"/>
        </w:rPr>
        <w:t>组织对本部门0个单位开展整体支出绩效自评，涉及一般公共预算支出0万元。本部门没有整体支出绩效项目。</w:t>
      </w:r>
    </w:p>
    <w:p>
      <w:pPr>
        <w:spacing w:line="360" w:lineRule="auto"/>
        <w:ind w:firstLine="56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（二）部门决算中项目绩效自评结果。</w:t>
      </w:r>
    </w:p>
    <w:p>
      <w:pPr>
        <w:ind w:firstLine="620" w:firstLineChars="200"/>
        <w:jc w:val="both"/>
        <w:rPr>
          <w:rFonts w:hint="eastAsia" w:ascii="仿宋" w:hAnsi="仿宋" w:eastAsia="仿宋" w:cs="仿宋"/>
          <w:color w:val="auto"/>
          <w:sz w:val="31"/>
          <w:szCs w:val="31"/>
          <w:shd w:val="clear" w:color="auto" w:fill="FFFFFF"/>
          <w:lang w:eastAsia="zh-CN"/>
        </w:rPr>
      </w:pPr>
      <w:r>
        <w:rPr>
          <w:rFonts w:hint="eastAsia" w:ascii="仿宋" w:hAnsi="仿宋" w:eastAsia="仿宋" w:cs="仿宋"/>
          <w:color w:val="auto"/>
          <w:sz w:val="31"/>
          <w:szCs w:val="31"/>
          <w:highlight w:val="none"/>
        </w:rPr>
        <w:t>我部门根据年初设定的绩效目标，</w:t>
      </w:r>
      <w:r>
        <w:rPr>
          <w:rFonts w:hint="eastAsia" w:ascii="仿宋" w:hAnsi="仿宋" w:eastAsia="仿宋" w:cs="仿宋"/>
          <w:color w:val="auto"/>
          <w:sz w:val="31"/>
          <w:szCs w:val="31"/>
          <w:shd w:val="clear" w:color="auto" w:fill="FFFFFF"/>
        </w:rPr>
        <w:t>项目绩效自评结果</w:t>
      </w:r>
      <w:r>
        <w:rPr>
          <w:rFonts w:hint="eastAsia" w:ascii="仿宋" w:hAnsi="仿宋" w:eastAsia="仿宋" w:cs="仿宋"/>
          <w:color w:val="auto"/>
          <w:sz w:val="31"/>
          <w:szCs w:val="31"/>
          <w:shd w:val="clear" w:color="auto" w:fill="FFFFFF"/>
          <w:lang w:eastAsia="zh-CN"/>
        </w:rPr>
        <w:t>如下：</w:t>
      </w:r>
    </w:p>
    <w:p>
      <w:pPr>
        <w:numPr>
          <w:ilvl w:val="0"/>
          <w:numId w:val="2"/>
        </w:numPr>
        <w:ind w:firstLine="620" w:firstLineChars="200"/>
        <w:jc w:val="both"/>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园区设备、设施日常运转及维护保养</w:t>
      </w:r>
      <w:r>
        <w:rPr>
          <w:rFonts w:hint="eastAsia" w:ascii="仿宋" w:hAnsi="仿宋" w:eastAsia="仿宋" w:cs="仿宋"/>
          <w:color w:val="auto"/>
          <w:sz w:val="31"/>
          <w:szCs w:val="31"/>
          <w:highlight w:val="none"/>
        </w:rPr>
        <w:t>项目自评得分为</w:t>
      </w:r>
      <w:r>
        <w:rPr>
          <w:rFonts w:hint="eastAsia" w:ascii="仿宋" w:hAnsi="仿宋" w:eastAsia="仿宋" w:cs="仿宋"/>
          <w:color w:val="auto"/>
          <w:sz w:val="31"/>
          <w:szCs w:val="31"/>
          <w:highlight w:val="none"/>
          <w:lang w:val="en-US" w:eastAsia="zh-CN"/>
        </w:rPr>
        <w:t>95</w:t>
      </w:r>
      <w:r>
        <w:rPr>
          <w:rFonts w:hint="eastAsia" w:ascii="仿宋" w:hAnsi="仿宋" w:eastAsia="仿宋" w:cs="仿宋"/>
          <w:color w:val="auto"/>
          <w:sz w:val="31"/>
          <w:szCs w:val="31"/>
          <w:highlight w:val="none"/>
        </w:rPr>
        <w:t>分，</w:t>
      </w:r>
      <w:r>
        <w:rPr>
          <w:rFonts w:hint="eastAsia" w:ascii="仿宋" w:hAnsi="仿宋" w:eastAsia="仿宋" w:cs="仿宋"/>
          <w:color w:val="auto"/>
          <w:sz w:val="31"/>
          <w:szCs w:val="31"/>
          <w:highlight w:val="none"/>
          <w:lang w:eastAsia="zh-CN"/>
        </w:rPr>
        <w:t>自评结论一等，</w:t>
      </w:r>
      <w:r>
        <w:rPr>
          <w:rFonts w:hint="eastAsia" w:ascii="仿宋" w:hAnsi="仿宋" w:eastAsia="仿宋" w:cs="仿宋"/>
          <w:color w:val="auto"/>
          <w:sz w:val="31"/>
          <w:szCs w:val="31"/>
          <w:highlight w:val="none"/>
        </w:rPr>
        <w:t>项目全年预算数为</w:t>
      </w:r>
      <w:r>
        <w:rPr>
          <w:rFonts w:hint="eastAsia" w:ascii="仿宋" w:hAnsi="仿宋" w:eastAsia="仿宋" w:cs="仿宋"/>
          <w:color w:val="auto"/>
          <w:sz w:val="31"/>
          <w:szCs w:val="31"/>
          <w:highlight w:val="none"/>
          <w:lang w:val="en-US" w:eastAsia="zh-CN"/>
        </w:rPr>
        <w:t>65</w:t>
      </w:r>
      <w:r>
        <w:rPr>
          <w:rFonts w:hint="eastAsia" w:ascii="仿宋" w:hAnsi="仿宋" w:eastAsia="仿宋" w:cs="仿宋"/>
          <w:color w:val="auto"/>
          <w:sz w:val="31"/>
          <w:szCs w:val="31"/>
          <w:highlight w:val="none"/>
        </w:rPr>
        <w:t>万元，执行数为</w:t>
      </w:r>
      <w:r>
        <w:rPr>
          <w:rFonts w:hint="eastAsia" w:ascii="仿宋" w:hAnsi="仿宋" w:eastAsia="仿宋" w:cs="仿宋"/>
          <w:color w:val="auto"/>
          <w:sz w:val="31"/>
          <w:szCs w:val="31"/>
          <w:highlight w:val="none"/>
          <w:lang w:val="en-US" w:eastAsia="zh-CN"/>
        </w:rPr>
        <w:t>65</w:t>
      </w:r>
      <w:r>
        <w:rPr>
          <w:rFonts w:hint="eastAsia" w:ascii="仿宋" w:hAnsi="仿宋" w:eastAsia="仿宋" w:cs="仿宋"/>
          <w:color w:val="auto"/>
          <w:sz w:val="31"/>
          <w:szCs w:val="31"/>
          <w:highlight w:val="none"/>
        </w:rPr>
        <w:t>万元，完成预算的</w:t>
      </w:r>
      <w:r>
        <w:rPr>
          <w:rFonts w:hint="eastAsia" w:ascii="仿宋" w:hAnsi="仿宋" w:eastAsia="仿宋" w:cs="仿宋"/>
          <w:color w:val="auto"/>
          <w:sz w:val="31"/>
          <w:szCs w:val="31"/>
          <w:highlight w:val="none"/>
          <w:lang w:val="en-US" w:eastAsia="zh-CN"/>
        </w:rPr>
        <w:t>100</w:t>
      </w:r>
      <w:r>
        <w:rPr>
          <w:rFonts w:hint="eastAsia" w:ascii="仿宋" w:hAnsi="仿宋" w:eastAsia="仿宋" w:cs="仿宋"/>
          <w:color w:val="auto"/>
          <w:sz w:val="31"/>
          <w:szCs w:val="31"/>
          <w:highlight w:val="none"/>
        </w:rPr>
        <w:t>%。发现的主要问题及原因：</w:t>
      </w:r>
      <w:r>
        <w:rPr>
          <w:rFonts w:hint="eastAsia" w:ascii="仿宋" w:hAnsi="仿宋" w:eastAsia="仿宋" w:cs="仿宋"/>
          <w:color w:val="auto"/>
          <w:sz w:val="31"/>
          <w:szCs w:val="31"/>
          <w:highlight w:val="none"/>
          <w:lang w:eastAsia="zh-CN"/>
        </w:rPr>
        <w:t>园区</w:t>
      </w:r>
      <w:r>
        <w:rPr>
          <w:rFonts w:hint="eastAsia" w:ascii="仿宋" w:hAnsi="仿宋" w:eastAsia="仿宋" w:cs="仿宋"/>
          <w:color w:val="auto"/>
          <w:kern w:val="0"/>
          <w:sz w:val="31"/>
          <w:szCs w:val="31"/>
          <w:lang w:val="en-US" w:eastAsia="zh-CN" w:bidi="ar"/>
        </w:rPr>
        <w:t>设备、设施日常运转及维护保养</w:t>
      </w:r>
      <w:r>
        <w:rPr>
          <w:rFonts w:hint="eastAsia" w:ascii="仿宋" w:hAnsi="仿宋" w:eastAsia="仿宋" w:cs="仿宋"/>
          <w:color w:val="auto"/>
          <w:sz w:val="31"/>
          <w:szCs w:val="31"/>
          <w:highlight w:val="none"/>
          <w:lang w:eastAsia="zh-CN"/>
        </w:rPr>
        <w:t>资金缺口较大，影响园区日常运行管理工作的正常开展。</w:t>
      </w:r>
      <w:r>
        <w:rPr>
          <w:rFonts w:hint="eastAsia" w:ascii="仿宋" w:hAnsi="仿宋" w:eastAsia="仿宋" w:cs="仿宋"/>
          <w:color w:val="auto"/>
          <w:kern w:val="2"/>
          <w:sz w:val="31"/>
          <w:szCs w:val="31"/>
          <w:highlight w:val="none"/>
          <w:lang w:val="en-US" w:eastAsia="zh-CN" w:bidi="ar"/>
        </w:rPr>
        <w:t>下一步改进措施：财政增加安排园区</w:t>
      </w:r>
      <w:r>
        <w:rPr>
          <w:rFonts w:hint="eastAsia" w:ascii="仿宋" w:hAnsi="仿宋" w:eastAsia="仿宋" w:cs="仿宋"/>
          <w:color w:val="auto"/>
          <w:kern w:val="0"/>
          <w:sz w:val="31"/>
          <w:szCs w:val="31"/>
          <w:lang w:val="en-US" w:eastAsia="zh-CN" w:bidi="ar"/>
        </w:rPr>
        <w:t>设备、设施日常运转及维护保养经费，以保障园区日常运行管理工作正常开展。</w:t>
      </w:r>
    </w:p>
    <w:p>
      <w:pPr>
        <w:numPr>
          <w:ilvl w:val="0"/>
          <w:numId w:val="2"/>
        </w:numPr>
        <w:ind w:firstLine="620" w:firstLineChars="200"/>
        <w:jc w:val="both"/>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中央优抚事业单位补助资金</w:t>
      </w:r>
      <w:r>
        <w:rPr>
          <w:rFonts w:hint="eastAsia" w:ascii="仿宋" w:hAnsi="仿宋" w:eastAsia="仿宋" w:cs="仿宋"/>
          <w:color w:val="auto"/>
          <w:sz w:val="31"/>
          <w:szCs w:val="31"/>
          <w:highlight w:val="none"/>
        </w:rPr>
        <w:t>项目自评得分为</w:t>
      </w:r>
      <w:r>
        <w:rPr>
          <w:rFonts w:hint="eastAsia" w:ascii="仿宋" w:hAnsi="仿宋" w:eastAsia="仿宋" w:cs="仿宋"/>
          <w:color w:val="auto"/>
          <w:sz w:val="31"/>
          <w:szCs w:val="31"/>
          <w:highlight w:val="none"/>
          <w:lang w:val="en-US" w:eastAsia="zh-CN"/>
        </w:rPr>
        <w:t>98</w:t>
      </w:r>
      <w:r>
        <w:rPr>
          <w:rFonts w:hint="eastAsia" w:ascii="仿宋" w:hAnsi="仿宋" w:eastAsia="仿宋" w:cs="仿宋"/>
          <w:color w:val="auto"/>
          <w:sz w:val="31"/>
          <w:szCs w:val="31"/>
          <w:highlight w:val="none"/>
        </w:rPr>
        <w:t>分，</w:t>
      </w:r>
      <w:r>
        <w:rPr>
          <w:rFonts w:hint="eastAsia" w:ascii="仿宋" w:hAnsi="仿宋" w:eastAsia="仿宋" w:cs="仿宋"/>
          <w:color w:val="auto"/>
          <w:sz w:val="31"/>
          <w:szCs w:val="31"/>
          <w:highlight w:val="none"/>
          <w:lang w:eastAsia="zh-CN"/>
        </w:rPr>
        <w:t>自评结论一等，</w:t>
      </w:r>
      <w:r>
        <w:rPr>
          <w:rFonts w:hint="eastAsia" w:ascii="仿宋" w:hAnsi="仿宋" w:eastAsia="仿宋" w:cs="仿宋"/>
          <w:color w:val="auto"/>
          <w:sz w:val="31"/>
          <w:szCs w:val="31"/>
          <w:highlight w:val="none"/>
        </w:rPr>
        <w:t>项目全年预算数为</w:t>
      </w:r>
      <w:r>
        <w:rPr>
          <w:rFonts w:hint="eastAsia" w:ascii="仿宋" w:hAnsi="仿宋" w:eastAsia="仿宋" w:cs="仿宋"/>
          <w:color w:val="auto"/>
          <w:sz w:val="31"/>
          <w:szCs w:val="31"/>
          <w:highlight w:val="none"/>
          <w:lang w:val="en-US" w:eastAsia="zh-CN"/>
        </w:rPr>
        <w:t>30</w:t>
      </w:r>
      <w:r>
        <w:rPr>
          <w:rFonts w:hint="eastAsia" w:ascii="仿宋" w:hAnsi="仿宋" w:eastAsia="仿宋" w:cs="仿宋"/>
          <w:color w:val="auto"/>
          <w:sz w:val="31"/>
          <w:szCs w:val="31"/>
          <w:highlight w:val="none"/>
        </w:rPr>
        <w:t>万元，执行数为</w:t>
      </w:r>
      <w:r>
        <w:rPr>
          <w:rFonts w:hint="eastAsia" w:ascii="仿宋" w:hAnsi="仿宋" w:eastAsia="仿宋" w:cs="仿宋"/>
          <w:color w:val="auto"/>
          <w:sz w:val="31"/>
          <w:szCs w:val="31"/>
          <w:highlight w:val="none"/>
          <w:lang w:val="en-US" w:eastAsia="zh-CN"/>
        </w:rPr>
        <w:t>30</w:t>
      </w:r>
      <w:r>
        <w:rPr>
          <w:rFonts w:hint="eastAsia" w:ascii="仿宋" w:hAnsi="仿宋" w:eastAsia="仿宋" w:cs="仿宋"/>
          <w:color w:val="auto"/>
          <w:sz w:val="31"/>
          <w:szCs w:val="31"/>
          <w:highlight w:val="none"/>
        </w:rPr>
        <w:t>万元，完成预算的</w:t>
      </w:r>
      <w:r>
        <w:rPr>
          <w:rFonts w:hint="eastAsia" w:ascii="仿宋" w:hAnsi="仿宋" w:eastAsia="仿宋" w:cs="仿宋"/>
          <w:color w:val="auto"/>
          <w:sz w:val="31"/>
          <w:szCs w:val="31"/>
          <w:highlight w:val="none"/>
          <w:lang w:val="en-US" w:eastAsia="zh-CN"/>
        </w:rPr>
        <w:t>100</w:t>
      </w:r>
      <w:r>
        <w:rPr>
          <w:rFonts w:hint="eastAsia" w:ascii="仿宋" w:hAnsi="仿宋" w:eastAsia="仿宋" w:cs="仿宋"/>
          <w:color w:val="auto"/>
          <w:sz w:val="31"/>
          <w:szCs w:val="31"/>
          <w:highlight w:val="none"/>
        </w:rPr>
        <w:t>%。</w:t>
      </w:r>
      <w:r>
        <w:rPr>
          <w:rFonts w:hint="eastAsia" w:ascii="仿宋_GB2312" w:eastAsia="仿宋_GB2312" w:cs="仿宋_GB2312"/>
          <w:color w:val="auto"/>
          <w:kern w:val="0"/>
          <w:sz w:val="32"/>
          <w:szCs w:val="32"/>
        </w:rPr>
        <w:t>完成</w:t>
      </w:r>
      <w:r>
        <w:rPr>
          <w:rFonts w:hint="eastAsia" w:ascii="仿宋_GB2312" w:eastAsia="仿宋_GB2312" w:cs="仿宋_GB2312"/>
          <w:color w:val="auto"/>
          <w:kern w:val="0"/>
          <w:sz w:val="32"/>
          <w:szCs w:val="32"/>
          <w:lang w:eastAsia="zh-CN"/>
        </w:rPr>
        <w:t>项目绩效</w:t>
      </w:r>
      <w:r>
        <w:rPr>
          <w:rFonts w:hint="eastAsia" w:ascii="仿宋_GB2312" w:eastAsia="仿宋_GB2312" w:cs="仿宋_GB2312"/>
          <w:color w:val="auto"/>
          <w:kern w:val="0"/>
          <w:sz w:val="32"/>
          <w:szCs w:val="32"/>
        </w:rPr>
        <w:t>目标</w:t>
      </w:r>
      <w:r>
        <w:rPr>
          <w:rFonts w:hint="eastAsia" w:ascii="仿宋_GB2312" w:eastAsia="仿宋_GB2312" w:cs="仿宋_GB2312"/>
          <w:color w:val="auto"/>
          <w:kern w:val="0"/>
          <w:sz w:val="32"/>
          <w:szCs w:val="32"/>
          <w:lang w:eastAsia="zh-CN"/>
        </w:rPr>
        <w:t>要求，没有存在问题。</w:t>
      </w:r>
    </w:p>
    <w:p>
      <w:pPr>
        <w:numPr>
          <w:ilvl w:val="0"/>
          <w:numId w:val="2"/>
        </w:numPr>
        <w:ind w:firstLine="620" w:firstLineChars="200"/>
        <w:jc w:val="both"/>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瞻仰接待服务收入</w:t>
      </w:r>
      <w:r>
        <w:rPr>
          <w:rFonts w:hint="eastAsia" w:ascii="仿宋" w:hAnsi="仿宋" w:eastAsia="仿宋" w:cs="仿宋"/>
          <w:color w:val="auto"/>
          <w:sz w:val="31"/>
          <w:szCs w:val="31"/>
          <w:highlight w:val="none"/>
        </w:rPr>
        <w:t>项目自评得分为</w:t>
      </w:r>
      <w:r>
        <w:rPr>
          <w:rFonts w:hint="eastAsia" w:ascii="仿宋" w:hAnsi="仿宋" w:eastAsia="仿宋" w:cs="仿宋"/>
          <w:color w:val="auto"/>
          <w:sz w:val="31"/>
          <w:szCs w:val="31"/>
          <w:highlight w:val="none"/>
          <w:lang w:val="en-US" w:eastAsia="zh-CN"/>
        </w:rPr>
        <w:t>98</w:t>
      </w:r>
      <w:r>
        <w:rPr>
          <w:rFonts w:hint="eastAsia" w:ascii="仿宋" w:hAnsi="仿宋" w:eastAsia="仿宋" w:cs="仿宋"/>
          <w:color w:val="auto"/>
          <w:sz w:val="31"/>
          <w:szCs w:val="31"/>
          <w:highlight w:val="none"/>
        </w:rPr>
        <w:t>分，</w:t>
      </w:r>
      <w:r>
        <w:rPr>
          <w:rFonts w:hint="eastAsia" w:ascii="仿宋" w:hAnsi="仿宋" w:eastAsia="仿宋" w:cs="仿宋"/>
          <w:color w:val="auto"/>
          <w:sz w:val="31"/>
          <w:szCs w:val="31"/>
          <w:highlight w:val="none"/>
          <w:lang w:eastAsia="zh-CN"/>
        </w:rPr>
        <w:t>自评结论一等，</w:t>
      </w:r>
      <w:r>
        <w:rPr>
          <w:rFonts w:hint="eastAsia" w:ascii="仿宋" w:hAnsi="仿宋" w:eastAsia="仿宋" w:cs="仿宋"/>
          <w:color w:val="auto"/>
          <w:sz w:val="31"/>
          <w:szCs w:val="31"/>
          <w:highlight w:val="none"/>
        </w:rPr>
        <w:t>项目全年预算数为</w:t>
      </w:r>
      <w:r>
        <w:rPr>
          <w:rFonts w:hint="eastAsia" w:ascii="仿宋" w:hAnsi="仿宋" w:eastAsia="仿宋" w:cs="仿宋"/>
          <w:color w:val="auto"/>
          <w:sz w:val="31"/>
          <w:szCs w:val="31"/>
          <w:highlight w:val="none"/>
          <w:lang w:val="en-US" w:eastAsia="zh-CN"/>
        </w:rPr>
        <w:t>10</w:t>
      </w:r>
      <w:r>
        <w:rPr>
          <w:rFonts w:hint="eastAsia" w:ascii="仿宋" w:hAnsi="仿宋" w:eastAsia="仿宋" w:cs="仿宋"/>
          <w:color w:val="auto"/>
          <w:sz w:val="31"/>
          <w:szCs w:val="31"/>
          <w:highlight w:val="none"/>
        </w:rPr>
        <w:t>万元，执行数为</w:t>
      </w:r>
      <w:r>
        <w:rPr>
          <w:rFonts w:hint="eastAsia" w:ascii="仿宋" w:hAnsi="仿宋" w:eastAsia="仿宋" w:cs="仿宋"/>
          <w:color w:val="auto"/>
          <w:sz w:val="31"/>
          <w:szCs w:val="31"/>
          <w:highlight w:val="none"/>
          <w:lang w:val="en-US" w:eastAsia="zh-CN"/>
        </w:rPr>
        <w:t>10</w:t>
      </w:r>
      <w:r>
        <w:rPr>
          <w:rFonts w:hint="eastAsia" w:ascii="仿宋" w:hAnsi="仿宋" w:eastAsia="仿宋" w:cs="仿宋"/>
          <w:color w:val="auto"/>
          <w:sz w:val="31"/>
          <w:szCs w:val="31"/>
          <w:highlight w:val="none"/>
        </w:rPr>
        <w:t>万元，完成预算的</w:t>
      </w:r>
      <w:r>
        <w:rPr>
          <w:rFonts w:hint="eastAsia" w:ascii="仿宋" w:hAnsi="仿宋" w:eastAsia="仿宋" w:cs="仿宋"/>
          <w:color w:val="auto"/>
          <w:sz w:val="31"/>
          <w:szCs w:val="31"/>
          <w:highlight w:val="none"/>
          <w:lang w:val="en-US" w:eastAsia="zh-CN"/>
        </w:rPr>
        <w:t>100</w:t>
      </w:r>
      <w:r>
        <w:rPr>
          <w:rFonts w:hint="eastAsia" w:ascii="仿宋" w:hAnsi="仿宋" w:eastAsia="仿宋" w:cs="仿宋"/>
          <w:color w:val="auto"/>
          <w:sz w:val="31"/>
          <w:szCs w:val="31"/>
          <w:highlight w:val="none"/>
        </w:rPr>
        <w:t>%。</w:t>
      </w:r>
      <w:r>
        <w:rPr>
          <w:rFonts w:hint="eastAsia" w:ascii="仿宋_GB2312" w:eastAsia="仿宋_GB2312" w:cs="仿宋_GB2312"/>
          <w:color w:val="auto"/>
          <w:kern w:val="0"/>
          <w:sz w:val="32"/>
          <w:szCs w:val="32"/>
        </w:rPr>
        <w:t>完成</w:t>
      </w:r>
      <w:r>
        <w:rPr>
          <w:rFonts w:hint="eastAsia" w:ascii="仿宋_GB2312" w:eastAsia="仿宋_GB2312" w:cs="仿宋_GB2312"/>
          <w:color w:val="auto"/>
          <w:kern w:val="0"/>
          <w:sz w:val="32"/>
          <w:szCs w:val="32"/>
          <w:lang w:eastAsia="zh-CN"/>
        </w:rPr>
        <w:t>项目绩效</w:t>
      </w:r>
      <w:r>
        <w:rPr>
          <w:rFonts w:hint="eastAsia" w:ascii="仿宋_GB2312" w:eastAsia="仿宋_GB2312" w:cs="仿宋_GB2312"/>
          <w:color w:val="auto"/>
          <w:kern w:val="0"/>
          <w:sz w:val="32"/>
          <w:szCs w:val="32"/>
        </w:rPr>
        <w:t>目标</w:t>
      </w:r>
      <w:r>
        <w:rPr>
          <w:rFonts w:hint="eastAsia" w:ascii="仿宋_GB2312" w:eastAsia="仿宋_GB2312" w:cs="仿宋_GB2312"/>
          <w:color w:val="auto"/>
          <w:kern w:val="0"/>
          <w:sz w:val="32"/>
          <w:szCs w:val="32"/>
          <w:lang w:eastAsia="zh-CN"/>
        </w:rPr>
        <w:t>要求，没有存在问题。</w:t>
      </w:r>
    </w:p>
    <w:p>
      <w:pPr>
        <w:numPr>
          <w:ilvl w:val="0"/>
          <w:numId w:val="2"/>
        </w:numPr>
        <w:ind w:firstLine="620" w:firstLineChars="200"/>
        <w:jc w:val="both"/>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追加职业年金</w:t>
      </w:r>
      <w:r>
        <w:rPr>
          <w:rFonts w:hint="eastAsia" w:ascii="仿宋" w:hAnsi="仿宋" w:eastAsia="仿宋" w:cs="仿宋"/>
          <w:color w:val="auto"/>
          <w:sz w:val="31"/>
          <w:szCs w:val="31"/>
          <w:highlight w:val="none"/>
        </w:rPr>
        <w:t>项目自评得分为</w:t>
      </w:r>
      <w:r>
        <w:rPr>
          <w:rFonts w:hint="eastAsia" w:ascii="仿宋" w:hAnsi="仿宋" w:eastAsia="仿宋" w:cs="仿宋"/>
          <w:color w:val="auto"/>
          <w:sz w:val="31"/>
          <w:szCs w:val="31"/>
          <w:highlight w:val="none"/>
          <w:lang w:val="en-US" w:eastAsia="zh-CN"/>
        </w:rPr>
        <w:t>98</w:t>
      </w:r>
      <w:r>
        <w:rPr>
          <w:rFonts w:hint="eastAsia" w:ascii="仿宋" w:hAnsi="仿宋" w:eastAsia="仿宋" w:cs="仿宋"/>
          <w:color w:val="auto"/>
          <w:sz w:val="31"/>
          <w:szCs w:val="31"/>
          <w:highlight w:val="none"/>
        </w:rPr>
        <w:t>分，</w:t>
      </w:r>
      <w:r>
        <w:rPr>
          <w:rFonts w:hint="eastAsia" w:ascii="仿宋" w:hAnsi="仿宋" w:eastAsia="仿宋" w:cs="仿宋"/>
          <w:color w:val="auto"/>
          <w:sz w:val="31"/>
          <w:szCs w:val="31"/>
          <w:highlight w:val="none"/>
          <w:lang w:eastAsia="zh-CN"/>
        </w:rPr>
        <w:t>自评结论一等，</w:t>
      </w:r>
      <w:r>
        <w:rPr>
          <w:rFonts w:hint="eastAsia" w:ascii="仿宋" w:hAnsi="仿宋" w:eastAsia="仿宋" w:cs="仿宋"/>
          <w:color w:val="auto"/>
          <w:sz w:val="31"/>
          <w:szCs w:val="31"/>
          <w:highlight w:val="none"/>
        </w:rPr>
        <w:t>项目全年预算数为</w:t>
      </w:r>
      <w:r>
        <w:rPr>
          <w:rFonts w:hint="eastAsia" w:ascii="仿宋" w:hAnsi="仿宋" w:eastAsia="仿宋" w:cs="仿宋"/>
          <w:color w:val="auto"/>
          <w:sz w:val="31"/>
          <w:szCs w:val="31"/>
          <w:highlight w:val="none"/>
          <w:lang w:val="en-US" w:eastAsia="zh-CN"/>
        </w:rPr>
        <w:t>3.78</w:t>
      </w:r>
      <w:r>
        <w:rPr>
          <w:rFonts w:hint="eastAsia" w:ascii="仿宋" w:hAnsi="仿宋" w:eastAsia="仿宋" w:cs="仿宋"/>
          <w:color w:val="auto"/>
          <w:sz w:val="31"/>
          <w:szCs w:val="31"/>
          <w:highlight w:val="none"/>
        </w:rPr>
        <w:t>万元，执行数为</w:t>
      </w:r>
      <w:r>
        <w:rPr>
          <w:rFonts w:hint="eastAsia" w:ascii="仿宋" w:hAnsi="仿宋" w:eastAsia="仿宋" w:cs="仿宋"/>
          <w:color w:val="auto"/>
          <w:sz w:val="31"/>
          <w:szCs w:val="31"/>
          <w:highlight w:val="none"/>
          <w:lang w:val="en-US" w:eastAsia="zh-CN"/>
        </w:rPr>
        <w:t>3.78</w:t>
      </w:r>
      <w:r>
        <w:rPr>
          <w:rFonts w:hint="eastAsia" w:ascii="仿宋" w:hAnsi="仿宋" w:eastAsia="仿宋" w:cs="仿宋"/>
          <w:color w:val="auto"/>
          <w:sz w:val="31"/>
          <w:szCs w:val="31"/>
          <w:highlight w:val="none"/>
        </w:rPr>
        <w:t>万元，完成预算的</w:t>
      </w:r>
      <w:r>
        <w:rPr>
          <w:rFonts w:hint="eastAsia" w:ascii="仿宋" w:hAnsi="仿宋" w:eastAsia="仿宋" w:cs="仿宋"/>
          <w:color w:val="auto"/>
          <w:sz w:val="31"/>
          <w:szCs w:val="31"/>
          <w:highlight w:val="none"/>
          <w:lang w:val="en-US" w:eastAsia="zh-CN"/>
        </w:rPr>
        <w:t>100</w:t>
      </w:r>
      <w:r>
        <w:rPr>
          <w:rFonts w:hint="eastAsia" w:ascii="仿宋" w:hAnsi="仿宋" w:eastAsia="仿宋" w:cs="仿宋"/>
          <w:color w:val="auto"/>
          <w:sz w:val="31"/>
          <w:szCs w:val="31"/>
          <w:highlight w:val="none"/>
        </w:rPr>
        <w:t>%。</w:t>
      </w:r>
      <w:r>
        <w:rPr>
          <w:rFonts w:hint="eastAsia" w:ascii="仿宋_GB2312" w:eastAsia="仿宋_GB2312" w:cs="仿宋_GB2312"/>
          <w:color w:val="auto"/>
          <w:kern w:val="0"/>
          <w:sz w:val="32"/>
          <w:szCs w:val="32"/>
        </w:rPr>
        <w:t>完成</w:t>
      </w:r>
      <w:r>
        <w:rPr>
          <w:rFonts w:hint="eastAsia" w:ascii="仿宋_GB2312" w:eastAsia="仿宋_GB2312" w:cs="仿宋_GB2312"/>
          <w:color w:val="auto"/>
          <w:kern w:val="0"/>
          <w:sz w:val="32"/>
          <w:szCs w:val="32"/>
          <w:lang w:eastAsia="zh-CN"/>
        </w:rPr>
        <w:t>项目绩效</w:t>
      </w:r>
      <w:r>
        <w:rPr>
          <w:rFonts w:hint="eastAsia" w:ascii="仿宋_GB2312" w:eastAsia="仿宋_GB2312" w:cs="仿宋_GB2312"/>
          <w:color w:val="auto"/>
          <w:kern w:val="0"/>
          <w:sz w:val="32"/>
          <w:szCs w:val="32"/>
        </w:rPr>
        <w:t>目标</w:t>
      </w:r>
      <w:r>
        <w:rPr>
          <w:rFonts w:hint="eastAsia" w:ascii="仿宋_GB2312" w:eastAsia="仿宋_GB2312" w:cs="仿宋_GB2312"/>
          <w:color w:val="auto"/>
          <w:kern w:val="0"/>
          <w:sz w:val="32"/>
          <w:szCs w:val="32"/>
          <w:lang w:eastAsia="zh-CN"/>
        </w:rPr>
        <w:t>要求，没有存在问题。</w:t>
      </w:r>
      <w:bookmarkStart w:id="4" w:name="_GoBack"/>
      <w:bookmarkEnd w:id="4"/>
    </w:p>
    <w:p>
      <w:pPr>
        <w:autoSpaceDE w:val="0"/>
        <w:autoSpaceDN w:val="0"/>
        <w:adjustRightInd w:val="0"/>
        <w:spacing w:line="560" w:lineRule="exact"/>
        <w:jc w:val="center"/>
        <w:rPr>
          <w:rFonts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ind w:firstLine="640"/>
        <w:rPr>
          <w:rFonts w:hint="eastAsia" w:ascii="仿宋" w:hAnsi="仿宋" w:eastAsia="仿宋" w:cs="仿宋"/>
          <w:sz w:val="31"/>
          <w:szCs w:val="31"/>
        </w:rPr>
      </w:pPr>
      <w:r>
        <w:rPr>
          <w:rFonts w:hint="eastAsia" w:ascii="仿宋" w:hAnsi="仿宋" w:eastAsia="仿宋" w:cs="仿宋"/>
          <w:sz w:val="31"/>
          <w:szCs w:val="31"/>
        </w:rPr>
        <w:t>一、财政拨款收入：指</w:t>
      </w:r>
      <w:r>
        <w:rPr>
          <w:rFonts w:ascii="仿宋" w:hAnsi="仿宋" w:eastAsia="仿宋" w:cs="仿宋"/>
          <w:sz w:val="31"/>
          <w:u w:color="auto"/>
        </w:rPr>
        <w:t xml:space="preserve">百色部门当年拨付的资金。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二、事业收入：指事业单位开展专业业务活动及辅助活动所取得的收入。</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三、经营收入：指事业单位在专业业务活动及其辅助活动之外开展非独立核算经营活动取得的收入。</w:t>
      </w:r>
    </w:p>
    <w:p>
      <w:pPr>
        <w:ind w:firstLine="640"/>
        <w:rPr>
          <w:rFonts w:hint="eastAsia" w:ascii="仿宋" w:hAnsi="仿宋" w:eastAsia="仿宋" w:cs="仿宋"/>
          <w:sz w:val="31"/>
          <w:szCs w:val="31"/>
        </w:rPr>
      </w:pPr>
      <w:r>
        <w:rPr>
          <w:rFonts w:hint="eastAsia" w:ascii="仿宋" w:hAnsi="仿宋" w:eastAsia="仿宋" w:cs="仿宋"/>
          <w:sz w:val="31"/>
          <w:szCs w:val="31"/>
        </w:rPr>
        <w:t>四、其他收入：指除上述“财政拨款收入”“事业收入”“经营收入”等以外的收入。</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五、用事业基金弥补收支差额指事业单位在当年的“财政拨款收入”“事业收入”“经营收入”“其他收入”不足以安排当年支出的情况下，使用非财政拨款结余弥补本年度收支缺口的资金。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六、年初结转和结余：指以前年度尚未完成、结转到本年 按有关规定继续使用的资金。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七、结余分配：指事业单位按规定提取的职工福利基金、事业基金和缴纳的所得税，以及建设单位按规定应交回的基本建设竣工项目结余资金。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八、年末结转和结余：指本年度或以前年度预算安排、因客观条件发生变化无法按原计划实施，需要延迟到以后年度按有关规定继续使用的资金。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九、基本支出：指为保障机构正常运转、完成日常工作任务而发生的人员支出和公用支出。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十、项目支出：指在基本支出之外为完成特定行政任务和事业发展目标所发生的支出。 </w:t>
      </w:r>
    </w:p>
    <w:p>
      <w:pPr>
        <w:ind w:firstLine="640"/>
        <w:rPr>
          <w:rFonts w:hint="eastAsia" w:ascii="仿宋" w:hAnsi="仿宋" w:eastAsia="仿宋" w:cs="仿宋"/>
          <w:sz w:val="31"/>
          <w:szCs w:val="31"/>
        </w:rPr>
      </w:pPr>
      <w:r>
        <w:rPr>
          <w:rFonts w:hint="eastAsia" w:ascii="仿宋" w:hAnsi="仿宋" w:eastAsia="仿宋" w:cs="仿宋"/>
          <w:sz w:val="31"/>
          <w:szCs w:val="31"/>
        </w:rPr>
        <w:t>十一、经营支出：指事业单位在专业业务活动及其辅助活动之外开展非独立核算经营活动发生的支出。</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十二、“三公”经费：纳入</w:t>
      </w:r>
      <w:r>
        <w:rPr>
          <w:rFonts w:ascii="仿宋" w:hAnsi="仿宋" w:eastAsia="仿宋" w:cs="仿宋"/>
          <w:sz w:val="31"/>
          <w:u w:color="auto"/>
        </w:rPr>
        <w:t xml:space="preserve">百色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49987DA-EDE6-4EC0-BC61-B6287CBB408B}"/>
  </w:font>
  <w:font w:name="黑体">
    <w:panose1 w:val="02010609060101010101"/>
    <w:charset w:val="86"/>
    <w:family w:val="auto"/>
    <w:pitch w:val="default"/>
    <w:sig w:usb0="800002BF" w:usb1="38CF7CFA" w:usb2="00000016" w:usb3="00000000" w:csb0="00040001" w:csb1="00000000"/>
    <w:embedRegular r:id="rId2" w:fontKey="{9FA56661-1ED0-4968-807E-00D7BE4219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3" w:fontKey="{141E54E0-10DE-45DB-AE59-C5F346402BDE}"/>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embedRegular r:id="rId4" w:fontKey="{0C834307-9455-43EF-97F9-3C68F174669A}"/>
  </w:font>
  <w:font w:name="ArialUnicodeMS">
    <w:altName w:val="宋体"/>
    <w:panose1 w:val="00000000000000000000"/>
    <w:charset w:val="86"/>
    <w:family w:val="auto"/>
    <w:pitch w:val="default"/>
    <w:sig w:usb0="00000000" w:usb1="00000000" w:usb2="00000010" w:usb3="00000000" w:csb0="00040000" w:csb1="00000000"/>
    <w:embedRegular r:id="rId5" w:fontKey="{EB25B0B3-9484-4955-85E1-22389C23CE81}"/>
  </w:font>
  <w:font w:name="方正小标宋简体">
    <w:altName w:val="方正舒体"/>
    <w:panose1 w:val="00000000000000000000"/>
    <w:charset w:val="86"/>
    <w:family w:val="auto"/>
    <w:pitch w:val="default"/>
    <w:sig w:usb0="00000000" w:usb1="00000000" w:usb2="00000000" w:usb3="00000000" w:csb0="00040000" w:csb1="00000000"/>
    <w:embedRegular r:id="rId6" w:fontKey="{EB180B67-1CEC-49FB-A6E4-1F6D65024DBE}"/>
  </w:font>
  <w:font w:name="微软雅黑">
    <w:panose1 w:val="020B0503020204020204"/>
    <w:charset w:val="86"/>
    <w:family w:val="swiss"/>
    <w:pitch w:val="default"/>
    <w:sig w:usb0="80000287" w:usb1="280F3C52" w:usb2="00000016" w:usb3="00000000" w:csb0="0004001F" w:csb1="00000000"/>
    <w:embedRegular r:id="rId7" w:fontKey="{87DC13EE-BF65-4D2C-930D-0AD1211EC6BC}"/>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30549"/>
    <w:multiLevelType w:val="singleLevel"/>
    <w:tmpl w:val="C2C30549"/>
    <w:lvl w:ilvl="0" w:tentative="0">
      <w:start w:val="1"/>
      <w:numFmt w:val="decimal"/>
      <w:suff w:val="nothing"/>
      <w:lvlText w:val="%1、"/>
      <w:lvlJc w:val="left"/>
    </w:lvl>
  </w:abstractNum>
  <w:abstractNum w:abstractNumId="1">
    <w:nsid w:val="3277D102"/>
    <w:multiLevelType w:val="multilevel"/>
    <w:tmpl w:val="3277D102"/>
    <w:lvl w:ilvl="0" w:tentative="0">
      <w:start w:val="1"/>
      <w:numFmt w:val="chineseCounting"/>
      <w:suff w:val="nothing"/>
      <w:lvlText w:val="%1、"/>
      <w:lvlJc w:val="left"/>
      <w:pPr>
        <w:tabs>
          <w:tab w:val="left" w:pos="0"/>
        </w:tabs>
        <w:ind w:left="0" w:firstLine="0"/>
      </w:pPr>
      <w:rPr>
        <w:rFonts w:hint="eastAsia" w:ascii="宋体" w:hAnsi="宋体" w:eastAsia="黑体" w:cs="宋体"/>
        <w:sz w:val="32"/>
      </w:rPr>
    </w:lvl>
    <w:lvl w:ilvl="1" w:tentative="0">
      <w:start w:val="1"/>
      <w:numFmt w:val="chineseCounting"/>
      <w:pStyle w:val="3"/>
      <w:suff w:val="nothing"/>
      <w:lvlText w:val="（%2）"/>
      <w:lvlJc w:val="left"/>
      <w:pPr>
        <w:tabs>
          <w:tab w:val="left" w:pos="0"/>
        </w:tabs>
        <w:ind w:left="0" w:firstLine="0"/>
      </w:pPr>
      <w:rPr>
        <w:rFonts w:hint="eastAsia" w:ascii="宋体" w:hAnsi="宋体" w:eastAsia="仿宋" w:cs="宋体"/>
        <w:b/>
        <w:sz w:val="32"/>
      </w:rPr>
    </w:lvl>
    <w:lvl w:ilvl="2" w:tentative="0">
      <w:start w:val="1"/>
      <w:numFmt w:val="decimal"/>
      <w:suff w:val="nothing"/>
      <w:lvlText w:val="%3．"/>
      <w:lvlJc w:val="left"/>
      <w:pPr>
        <w:tabs>
          <w:tab w:val="left" w:pos="0"/>
        </w:tabs>
        <w:ind w:left="0" w:firstLine="0"/>
      </w:pPr>
      <w:rPr>
        <w:rFonts w:hint="eastAsia" w:ascii="Times New Roman" w:hAnsi="Times New Roman" w:eastAsia="仿宋" w:cs="宋体"/>
        <w:b/>
        <w:sz w:val="30"/>
      </w:rPr>
    </w:lvl>
    <w:lvl w:ilvl="3" w:tentative="0">
      <w:start w:val="1"/>
      <w:numFmt w:val="decimal"/>
      <w:suff w:val="nothing"/>
      <w:lvlText w:val="（%4）"/>
      <w:lvlJc w:val="left"/>
      <w:pPr>
        <w:tabs>
          <w:tab w:val="left" w:pos="0"/>
        </w:tabs>
        <w:ind w:left="0" w:firstLine="0"/>
      </w:pPr>
      <w:rPr>
        <w:rFonts w:hint="eastAsia" w:ascii="Times New Roman" w:hAnsi="Times New Roman" w:eastAsia="仿宋" w:cs="宋体"/>
        <w:b/>
        <w:sz w:val="28"/>
      </w:rPr>
    </w:lvl>
    <w:lvl w:ilvl="4" w:tentative="0">
      <w:start w:val="1"/>
      <w:numFmt w:val="decimalEnclosedCircleChinese"/>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YTgzNjVmZWFmNWNjMzNiNzk4Yjk5ODFiZjBjMzcifQ=="/>
  </w:docVars>
  <w:rsids>
    <w:rsidRoot w:val="00C9591D"/>
    <w:rsid w:val="00004337"/>
    <w:rsid w:val="000749E3"/>
    <w:rsid w:val="001A343B"/>
    <w:rsid w:val="005C6527"/>
    <w:rsid w:val="005D21B5"/>
    <w:rsid w:val="00641570"/>
    <w:rsid w:val="00901EFC"/>
    <w:rsid w:val="00A25D43"/>
    <w:rsid w:val="00A717D4"/>
    <w:rsid w:val="00B561ED"/>
    <w:rsid w:val="00C9591D"/>
    <w:rsid w:val="00E0770D"/>
    <w:rsid w:val="00E73AFE"/>
    <w:rsid w:val="00EB5C43"/>
    <w:rsid w:val="010E1127"/>
    <w:rsid w:val="013C06BC"/>
    <w:rsid w:val="016E54D2"/>
    <w:rsid w:val="01782E3F"/>
    <w:rsid w:val="01C120D0"/>
    <w:rsid w:val="02104022"/>
    <w:rsid w:val="023B4412"/>
    <w:rsid w:val="02DC5CB3"/>
    <w:rsid w:val="0317318F"/>
    <w:rsid w:val="032B5FEF"/>
    <w:rsid w:val="0334297A"/>
    <w:rsid w:val="03A52548"/>
    <w:rsid w:val="03BC7E2E"/>
    <w:rsid w:val="04243DB5"/>
    <w:rsid w:val="04BF763A"/>
    <w:rsid w:val="04C904B8"/>
    <w:rsid w:val="04FF1F9F"/>
    <w:rsid w:val="066E1317"/>
    <w:rsid w:val="06BD229F"/>
    <w:rsid w:val="06D813C6"/>
    <w:rsid w:val="07175632"/>
    <w:rsid w:val="076745CB"/>
    <w:rsid w:val="07CF5DE6"/>
    <w:rsid w:val="087819DE"/>
    <w:rsid w:val="08C03D58"/>
    <w:rsid w:val="098D5F59"/>
    <w:rsid w:val="0A03621B"/>
    <w:rsid w:val="0A3A1862"/>
    <w:rsid w:val="0A6D26C1"/>
    <w:rsid w:val="0A761D9A"/>
    <w:rsid w:val="0ADD6A6C"/>
    <w:rsid w:val="0AFF2E86"/>
    <w:rsid w:val="0B1F0E32"/>
    <w:rsid w:val="0B776EC0"/>
    <w:rsid w:val="0BBA0474"/>
    <w:rsid w:val="0D0E73B0"/>
    <w:rsid w:val="0D57599F"/>
    <w:rsid w:val="0D83393E"/>
    <w:rsid w:val="0DC42165"/>
    <w:rsid w:val="0E172435"/>
    <w:rsid w:val="0E56100F"/>
    <w:rsid w:val="0EC00B7E"/>
    <w:rsid w:val="0EC266A4"/>
    <w:rsid w:val="0EC56195"/>
    <w:rsid w:val="0F6D029D"/>
    <w:rsid w:val="0F713C26"/>
    <w:rsid w:val="0FDF5034"/>
    <w:rsid w:val="104F1E11"/>
    <w:rsid w:val="11395683"/>
    <w:rsid w:val="119D51A7"/>
    <w:rsid w:val="11A958FA"/>
    <w:rsid w:val="11C20769"/>
    <w:rsid w:val="121328E5"/>
    <w:rsid w:val="123F4D19"/>
    <w:rsid w:val="12863E8D"/>
    <w:rsid w:val="12883761"/>
    <w:rsid w:val="137361BF"/>
    <w:rsid w:val="15027B80"/>
    <w:rsid w:val="158D63B9"/>
    <w:rsid w:val="15C753AE"/>
    <w:rsid w:val="16383C52"/>
    <w:rsid w:val="16702E8A"/>
    <w:rsid w:val="16B5089D"/>
    <w:rsid w:val="175005C5"/>
    <w:rsid w:val="181B0BD3"/>
    <w:rsid w:val="181D1E1F"/>
    <w:rsid w:val="182C45CC"/>
    <w:rsid w:val="1862520D"/>
    <w:rsid w:val="189501D2"/>
    <w:rsid w:val="19722A75"/>
    <w:rsid w:val="19D714B0"/>
    <w:rsid w:val="19E71DF4"/>
    <w:rsid w:val="1A547635"/>
    <w:rsid w:val="1A562397"/>
    <w:rsid w:val="1A7016AA"/>
    <w:rsid w:val="1AE856E5"/>
    <w:rsid w:val="1C3A1F70"/>
    <w:rsid w:val="1C4E77C9"/>
    <w:rsid w:val="1C6F597C"/>
    <w:rsid w:val="1C715266"/>
    <w:rsid w:val="1CC01D49"/>
    <w:rsid w:val="1CDC3779"/>
    <w:rsid w:val="1DAF24EA"/>
    <w:rsid w:val="1DCE4E9C"/>
    <w:rsid w:val="1DEF0B38"/>
    <w:rsid w:val="1E2851F8"/>
    <w:rsid w:val="1E4C5F8A"/>
    <w:rsid w:val="1E62755C"/>
    <w:rsid w:val="1E6A6411"/>
    <w:rsid w:val="1F0B7BF4"/>
    <w:rsid w:val="1F1D7927"/>
    <w:rsid w:val="1F446F7A"/>
    <w:rsid w:val="20947DAF"/>
    <w:rsid w:val="20A756FA"/>
    <w:rsid w:val="20AC7E9E"/>
    <w:rsid w:val="21735783"/>
    <w:rsid w:val="223A2D60"/>
    <w:rsid w:val="227349F6"/>
    <w:rsid w:val="22B77DB2"/>
    <w:rsid w:val="22EA7B20"/>
    <w:rsid w:val="233A4603"/>
    <w:rsid w:val="23447230"/>
    <w:rsid w:val="235356C5"/>
    <w:rsid w:val="23A45F21"/>
    <w:rsid w:val="24466FD8"/>
    <w:rsid w:val="247010E2"/>
    <w:rsid w:val="254A0D4A"/>
    <w:rsid w:val="25597366"/>
    <w:rsid w:val="2561056D"/>
    <w:rsid w:val="25624FED"/>
    <w:rsid w:val="257007B0"/>
    <w:rsid w:val="25C66622"/>
    <w:rsid w:val="25CB5E03"/>
    <w:rsid w:val="2624159B"/>
    <w:rsid w:val="26395046"/>
    <w:rsid w:val="26A83F7A"/>
    <w:rsid w:val="270F5DA7"/>
    <w:rsid w:val="272A0E33"/>
    <w:rsid w:val="272F6449"/>
    <w:rsid w:val="273D0B66"/>
    <w:rsid w:val="274E4D44"/>
    <w:rsid w:val="27B64A81"/>
    <w:rsid w:val="27DC037F"/>
    <w:rsid w:val="28235F0B"/>
    <w:rsid w:val="288325A9"/>
    <w:rsid w:val="291122AA"/>
    <w:rsid w:val="2A7A3E7F"/>
    <w:rsid w:val="2A885BC1"/>
    <w:rsid w:val="2A9071FF"/>
    <w:rsid w:val="2ABA24CE"/>
    <w:rsid w:val="2BEA7520"/>
    <w:rsid w:val="2C513B81"/>
    <w:rsid w:val="2CF47F19"/>
    <w:rsid w:val="2D097FBD"/>
    <w:rsid w:val="2E334A71"/>
    <w:rsid w:val="2EFC1307"/>
    <w:rsid w:val="2F2653C1"/>
    <w:rsid w:val="2FFC72B0"/>
    <w:rsid w:val="30970224"/>
    <w:rsid w:val="30BB2AFC"/>
    <w:rsid w:val="316C361E"/>
    <w:rsid w:val="31846732"/>
    <w:rsid w:val="318F6462"/>
    <w:rsid w:val="31A33CBC"/>
    <w:rsid w:val="31E42251"/>
    <w:rsid w:val="32340893"/>
    <w:rsid w:val="33012DB3"/>
    <w:rsid w:val="332901F1"/>
    <w:rsid w:val="3338220B"/>
    <w:rsid w:val="335A484E"/>
    <w:rsid w:val="345D1EA3"/>
    <w:rsid w:val="346239BA"/>
    <w:rsid w:val="362F2524"/>
    <w:rsid w:val="36407D2B"/>
    <w:rsid w:val="36527A5E"/>
    <w:rsid w:val="3684230E"/>
    <w:rsid w:val="36CA3A99"/>
    <w:rsid w:val="37184804"/>
    <w:rsid w:val="372633C5"/>
    <w:rsid w:val="375F2433"/>
    <w:rsid w:val="37985945"/>
    <w:rsid w:val="379E11AD"/>
    <w:rsid w:val="37D3697D"/>
    <w:rsid w:val="37D84221"/>
    <w:rsid w:val="37F76B0F"/>
    <w:rsid w:val="3845787B"/>
    <w:rsid w:val="386677F1"/>
    <w:rsid w:val="386F2B4A"/>
    <w:rsid w:val="38710670"/>
    <w:rsid w:val="38B22A36"/>
    <w:rsid w:val="38B642D4"/>
    <w:rsid w:val="39040613"/>
    <w:rsid w:val="39A700C1"/>
    <w:rsid w:val="3A0F2EAC"/>
    <w:rsid w:val="3A3A0F35"/>
    <w:rsid w:val="3ACF694F"/>
    <w:rsid w:val="3AD9074E"/>
    <w:rsid w:val="3B487DD2"/>
    <w:rsid w:val="3BEF7718"/>
    <w:rsid w:val="3C3D701D"/>
    <w:rsid w:val="3CC527C1"/>
    <w:rsid w:val="3D4A76E1"/>
    <w:rsid w:val="3D51281E"/>
    <w:rsid w:val="3DBD6105"/>
    <w:rsid w:val="3DD07BE6"/>
    <w:rsid w:val="3DD47A3F"/>
    <w:rsid w:val="3E9055C8"/>
    <w:rsid w:val="3EC314F9"/>
    <w:rsid w:val="3F6A6298"/>
    <w:rsid w:val="4033511A"/>
    <w:rsid w:val="40710766"/>
    <w:rsid w:val="40794B35"/>
    <w:rsid w:val="41BB6E00"/>
    <w:rsid w:val="41EC520B"/>
    <w:rsid w:val="42562684"/>
    <w:rsid w:val="42787C0A"/>
    <w:rsid w:val="42B32F81"/>
    <w:rsid w:val="42C46168"/>
    <w:rsid w:val="430E0651"/>
    <w:rsid w:val="43374264"/>
    <w:rsid w:val="43CF26EE"/>
    <w:rsid w:val="442742D8"/>
    <w:rsid w:val="44352E99"/>
    <w:rsid w:val="44D8093C"/>
    <w:rsid w:val="452A22D2"/>
    <w:rsid w:val="455813AE"/>
    <w:rsid w:val="456E4E81"/>
    <w:rsid w:val="45921C25"/>
    <w:rsid w:val="45A50716"/>
    <w:rsid w:val="460F771A"/>
    <w:rsid w:val="468266D9"/>
    <w:rsid w:val="47A0687C"/>
    <w:rsid w:val="47A143A2"/>
    <w:rsid w:val="47C17CFE"/>
    <w:rsid w:val="48AB197C"/>
    <w:rsid w:val="495D7353"/>
    <w:rsid w:val="49B22896"/>
    <w:rsid w:val="4A176B9D"/>
    <w:rsid w:val="4A3B6D2F"/>
    <w:rsid w:val="4A804742"/>
    <w:rsid w:val="4ADF590D"/>
    <w:rsid w:val="4BAF1783"/>
    <w:rsid w:val="4C123AC0"/>
    <w:rsid w:val="4C373527"/>
    <w:rsid w:val="4C8B3DD4"/>
    <w:rsid w:val="4D041640"/>
    <w:rsid w:val="4D460313"/>
    <w:rsid w:val="4D472FA1"/>
    <w:rsid w:val="4D476A5E"/>
    <w:rsid w:val="4DA92202"/>
    <w:rsid w:val="4E437F61"/>
    <w:rsid w:val="4E477DF6"/>
    <w:rsid w:val="4E73063A"/>
    <w:rsid w:val="4F1B2C8C"/>
    <w:rsid w:val="4F844CD5"/>
    <w:rsid w:val="4FE65048"/>
    <w:rsid w:val="4FFC0D0F"/>
    <w:rsid w:val="50052FF4"/>
    <w:rsid w:val="5041514D"/>
    <w:rsid w:val="52075749"/>
    <w:rsid w:val="52CA0F7A"/>
    <w:rsid w:val="539D45B7"/>
    <w:rsid w:val="53B1058C"/>
    <w:rsid w:val="541859EC"/>
    <w:rsid w:val="543D36A4"/>
    <w:rsid w:val="544E765F"/>
    <w:rsid w:val="54972199"/>
    <w:rsid w:val="55937A20"/>
    <w:rsid w:val="55AB748F"/>
    <w:rsid w:val="55DD0209"/>
    <w:rsid w:val="55E42029"/>
    <w:rsid w:val="563310BE"/>
    <w:rsid w:val="565076BF"/>
    <w:rsid w:val="56666585"/>
    <w:rsid w:val="569A3030"/>
    <w:rsid w:val="56A1616C"/>
    <w:rsid w:val="57541431"/>
    <w:rsid w:val="57ED28E9"/>
    <w:rsid w:val="58112E7E"/>
    <w:rsid w:val="581D4903"/>
    <w:rsid w:val="583214E0"/>
    <w:rsid w:val="58CC1389"/>
    <w:rsid w:val="58D75E75"/>
    <w:rsid w:val="59063EF6"/>
    <w:rsid w:val="59101751"/>
    <w:rsid w:val="59701E26"/>
    <w:rsid w:val="5991139A"/>
    <w:rsid w:val="59E545C2"/>
    <w:rsid w:val="5A674620"/>
    <w:rsid w:val="5A7A6A7D"/>
    <w:rsid w:val="5AA026E6"/>
    <w:rsid w:val="5AF8590C"/>
    <w:rsid w:val="5BB92FBA"/>
    <w:rsid w:val="5C7F0CFE"/>
    <w:rsid w:val="5D1F428F"/>
    <w:rsid w:val="5E59732C"/>
    <w:rsid w:val="5E5F3717"/>
    <w:rsid w:val="5EBB1596"/>
    <w:rsid w:val="5F0E0117"/>
    <w:rsid w:val="5F1F2324"/>
    <w:rsid w:val="5F3F6522"/>
    <w:rsid w:val="5FB57FD0"/>
    <w:rsid w:val="5FE61094"/>
    <w:rsid w:val="5FEA2932"/>
    <w:rsid w:val="601804C5"/>
    <w:rsid w:val="604C7149"/>
    <w:rsid w:val="6057789C"/>
    <w:rsid w:val="60DD4245"/>
    <w:rsid w:val="60E03D35"/>
    <w:rsid w:val="614D13CA"/>
    <w:rsid w:val="61E3614F"/>
    <w:rsid w:val="61F061FA"/>
    <w:rsid w:val="634C7460"/>
    <w:rsid w:val="64330CDF"/>
    <w:rsid w:val="64805613"/>
    <w:rsid w:val="64DB0A9B"/>
    <w:rsid w:val="65735178"/>
    <w:rsid w:val="65CD36ED"/>
    <w:rsid w:val="65D42AD7"/>
    <w:rsid w:val="66061B48"/>
    <w:rsid w:val="66FB3677"/>
    <w:rsid w:val="677C6D9D"/>
    <w:rsid w:val="67D6379C"/>
    <w:rsid w:val="67F41FE9"/>
    <w:rsid w:val="68085778"/>
    <w:rsid w:val="688A4CB2"/>
    <w:rsid w:val="68FB170C"/>
    <w:rsid w:val="6A3824EC"/>
    <w:rsid w:val="6AD96E0B"/>
    <w:rsid w:val="6B182670"/>
    <w:rsid w:val="6B361121"/>
    <w:rsid w:val="6B3B6738"/>
    <w:rsid w:val="6B6537B4"/>
    <w:rsid w:val="6B7C1B7E"/>
    <w:rsid w:val="6BF16DF6"/>
    <w:rsid w:val="6C865790"/>
    <w:rsid w:val="6CC74CC3"/>
    <w:rsid w:val="6CCE7137"/>
    <w:rsid w:val="6D090170"/>
    <w:rsid w:val="6D237483"/>
    <w:rsid w:val="6D3E7098"/>
    <w:rsid w:val="6D8C327A"/>
    <w:rsid w:val="6D992FE7"/>
    <w:rsid w:val="6DCD7245"/>
    <w:rsid w:val="6E0340F1"/>
    <w:rsid w:val="6E1D2124"/>
    <w:rsid w:val="6E49116B"/>
    <w:rsid w:val="6E647D53"/>
    <w:rsid w:val="6E6D2905"/>
    <w:rsid w:val="6EAE1443"/>
    <w:rsid w:val="6EAF582D"/>
    <w:rsid w:val="6F0D4695"/>
    <w:rsid w:val="6F40431D"/>
    <w:rsid w:val="6F563B40"/>
    <w:rsid w:val="71BE777B"/>
    <w:rsid w:val="71DE3EBE"/>
    <w:rsid w:val="722C6DDA"/>
    <w:rsid w:val="727367B7"/>
    <w:rsid w:val="72D8486C"/>
    <w:rsid w:val="72E23E9F"/>
    <w:rsid w:val="74DE68E8"/>
    <w:rsid w:val="751F6782"/>
    <w:rsid w:val="758D7B90"/>
    <w:rsid w:val="759233F8"/>
    <w:rsid w:val="75CB06B8"/>
    <w:rsid w:val="76353E94"/>
    <w:rsid w:val="76424E1E"/>
    <w:rsid w:val="767F4D5D"/>
    <w:rsid w:val="76BF646F"/>
    <w:rsid w:val="78063C29"/>
    <w:rsid w:val="782C7B34"/>
    <w:rsid w:val="78D43D28"/>
    <w:rsid w:val="78E026CC"/>
    <w:rsid w:val="78F45A6B"/>
    <w:rsid w:val="793B7B1B"/>
    <w:rsid w:val="7961380D"/>
    <w:rsid w:val="79D93881"/>
    <w:rsid w:val="79F93A46"/>
    <w:rsid w:val="7A8C079F"/>
    <w:rsid w:val="7B1728DD"/>
    <w:rsid w:val="7B521F16"/>
    <w:rsid w:val="7BBC2F7D"/>
    <w:rsid w:val="7BCD518A"/>
    <w:rsid w:val="7BD55BC8"/>
    <w:rsid w:val="7C0466D2"/>
    <w:rsid w:val="7C134B67"/>
    <w:rsid w:val="7C1F350C"/>
    <w:rsid w:val="7C3A1BEA"/>
    <w:rsid w:val="7C4259AE"/>
    <w:rsid w:val="7CAA1027"/>
    <w:rsid w:val="7CCF4F32"/>
    <w:rsid w:val="7D662CB3"/>
    <w:rsid w:val="7D984F94"/>
    <w:rsid w:val="7E7318ED"/>
    <w:rsid w:val="7EC64112"/>
    <w:rsid w:val="7ECD2C87"/>
    <w:rsid w:val="7F2D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numPr>
        <w:ilvl w:val="1"/>
        <w:numId w:val="1"/>
      </w:numPr>
      <w:spacing w:before="50" w:beforeLines="50"/>
      <w:ind w:firstLine="560"/>
      <w:outlineLvl w:val="1"/>
    </w:pPr>
    <w:rPr>
      <w:rFonts w:eastAsia="楷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6356</Words>
  <Characters>14021</Characters>
  <Lines>81</Lines>
  <Paragraphs>22</Paragraphs>
  <TotalTime>14</TotalTime>
  <ScaleCrop>false</ScaleCrop>
  <LinksUpToDate>false</LinksUpToDate>
  <CharactersWithSpaces>14161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韦妮娜</cp:lastModifiedBy>
  <dcterms:modified xsi:type="dcterms:W3CDTF">2023-10-11T10:00:08Z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ABF9D7E7AD77439C9277EF6745CA75FD_13</vt:lpwstr>
  </property>
</Properties>
</file>